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013CF4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1E327B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B3AB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013CF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4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5947B8" w:rsidRPr="00013CF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3</w:t>
            </w:r>
            <w:r w:rsidR="00013CF4" w:rsidRPr="00013CF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74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6290E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0C14D3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90647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0C14D3" w:rsidP="0013349D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November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6B34E9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13CF4" w:rsidRDefault="002579B7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Average net wage 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in October </w:t>
      </w:r>
      <w:r w:rsidR="00D11D67" w:rsidRPr="00013C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4707B2" w:rsidRPr="00013C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013C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A2147D" w:rsidRPr="00013C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20</w:t>
      </w:r>
      <w:r w:rsidR="00E33D13" w:rsidRPr="00013CF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13CF4" w:rsidRDefault="002579B7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390647">
        <w:rPr>
          <w:rFonts w:ascii="Arial Narrow" w:hAnsi="Arial Narrow" w:cs="Tahoma"/>
          <w:b/>
          <w:sz w:val="28"/>
          <w:szCs w:val="22"/>
        </w:rPr>
        <w:t xml:space="preserve">Annual real wage growth </w:t>
      </w:r>
      <w:r w:rsidR="00780098" w:rsidRPr="00013CF4">
        <w:rPr>
          <w:rFonts w:ascii="Arial Narrow" w:hAnsi="Arial Narrow" w:cs="Tahoma"/>
          <w:b/>
          <w:sz w:val="28"/>
          <w:szCs w:val="22"/>
          <w:lang w:val="sr-Cyrl-BA"/>
        </w:rPr>
        <w:t>9</w:t>
      </w:r>
      <w:r>
        <w:rPr>
          <w:rFonts w:ascii="Arial Narrow" w:hAnsi="Arial Narrow" w:cs="Tahoma"/>
          <w:b/>
          <w:sz w:val="28"/>
          <w:szCs w:val="22"/>
          <w:lang w:val="sr-Latn-BA"/>
        </w:rPr>
        <w:t>.</w:t>
      </w:r>
      <w:r w:rsidR="00780098" w:rsidRPr="00013CF4">
        <w:rPr>
          <w:rFonts w:ascii="Arial Narrow" w:hAnsi="Arial Narrow" w:cs="Tahoma"/>
          <w:b/>
          <w:sz w:val="28"/>
          <w:szCs w:val="22"/>
          <w:lang w:val="sr-Cyrl-BA"/>
        </w:rPr>
        <w:t>5</w:t>
      </w:r>
      <w:r w:rsidR="004841F2" w:rsidRPr="00013CF4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013CF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13CF4">
        <w:rPr>
          <w:rFonts w:ascii="Tahoma" w:hAnsi="Tahoma" w:cs="Tahoma"/>
          <w:b/>
          <w:sz w:val="24"/>
          <w:lang w:val="sr-Cyrl-CS"/>
        </w:rPr>
        <w:tab/>
      </w:r>
      <w:r w:rsidRPr="00013CF4">
        <w:rPr>
          <w:rFonts w:ascii="Tahoma" w:hAnsi="Tahoma" w:cs="Tahoma"/>
          <w:b/>
          <w:sz w:val="24"/>
          <w:lang w:val="sr-Cyrl-CS"/>
        </w:rPr>
        <w:tab/>
      </w:r>
    </w:p>
    <w:p w:rsidR="002579B7" w:rsidRPr="00390647" w:rsidRDefault="002579B7" w:rsidP="002579B7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Average monthly net wage in </w:t>
      </w:r>
      <w:proofErr w:type="spellStart"/>
      <w:r w:rsidRPr="00390647">
        <w:rPr>
          <w:rFonts w:ascii="Arial Narrow" w:hAnsi="Arial Narrow" w:cs="Tahoma"/>
          <w:sz w:val="22"/>
        </w:rPr>
        <w:t>Republika</w:t>
      </w:r>
      <w:proofErr w:type="spellEnd"/>
      <w:r w:rsidRPr="00390647">
        <w:rPr>
          <w:rFonts w:ascii="Arial Narrow" w:hAnsi="Arial Narrow" w:cs="Tahoma"/>
          <w:sz w:val="22"/>
        </w:rPr>
        <w:t xml:space="preserve"> </w:t>
      </w:r>
      <w:proofErr w:type="spellStart"/>
      <w:r w:rsidRPr="00390647">
        <w:rPr>
          <w:rFonts w:ascii="Arial Narrow" w:hAnsi="Arial Narrow" w:cs="Tahoma"/>
          <w:sz w:val="22"/>
        </w:rPr>
        <w:t>Srpska</w:t>
      </w:r>
      <w:proofErr w:type="spellEnd"/>
      <w:r w:rsidRPr="00390647">
        <w:rPr>
          <w:rFonts w:ascii="Arial Narrow" w:hAnsi="Arial Narrow" w:cs="Tahoma"/>
          <w:sz w:val="22"/>
        </w:rPr>
        <w:t xml:space="preserve"> paid in </w:t>
      </w:r>
      <w:r>
        <w:rPr>
          <w:rFonts w:ascii="Arial Narrow" w:hAnsi="Arial Narrow" w:cs="Tahoma"/>
          <w:sz w:val="22"/>
        </w:rPr>
        <w:t>October 2024 amounted to 1,42</w:t>
      </w:r>
      <w:r w:rsidRPr="00390647">
        <w:rPr>
          <w:rFonts w:ascii="Arial Narrow" w:hAnsi="Arial Narrow" w:cs="Tahoma"/>
          <w:sz w:val="22"/>
        </w:rPr>
        <w:t xml:space="preserve">0 KM and it was nominally </w:t>
      </w:r>
      <w:r w:rsidR="00B546CE">
        <w:rPr>
          <w:rFonts w:ascii="Arial Narrow" w:hAnsi="Arial Narrow" w:cs="Tahoma"/>
          <w:sz w:val="22"/>
        </w:rPr>
        <w:t>0.6% higher and really 0.5</w:t>
      </w:r>
      <w:r w:rsidRPr="00390647">
        <w:rPr>
          <w:rFonts w:ascii="Arial Narrow" w:hAnsi="Arial Narrow" w:cs="Tahoma"/>
          <w:sz w:val="22"/>
        </w:rPr>
        <w:t>% higher</w:t>
      </w:r>
      <w:r w:rsidR="00B546CE">
        <w:rPr>
          <w:rFonts w:ascii="Arial Narrow" w:hAnsi="Arial Narrow" w:cs="Tahoma"/>
          <w:sz w:val="22"/>
        </w:rPr>
        <w:t xml:space="preserve"> compared to September 2024, </w:t>
      </w:r>
      <w:r w:rsidRPr="00390647">
        <w:rPr>
          <w:rFonts w:ascii="Arial Narrow" w:hAnsi="Arial Narrow" w:cs="Tahoma"/>
          <w:sz w:val="22"/>
        </w:rPr>
        <w:t>while compared to the same month of the pre</w:t>
      </w:r>
      <w:r w:rsidR="00B546CE">
        <w:rPr>
          <w:rFonts w:ascii="Arial Narrow" w:hAnsi="Arial Narrow" w:cs="Tahoma"/>
          <w:sz w:val="22"/>
        </w:rPr>
        <w:t>vious year it was nominally 10.1% higher and really 9.5</w:t>
      </w:r>
      <w:r w:rsidRPr="00390647">
        <w:rPr>
          <w:rFonts w:ascii="Arial Narrow" w:hAnsi="Arial Narrow" w:cs="Tahoma"/>
          <w:sz w:val="22"/>
        </w:rPr>
        <w:t>% higher. Average monthly gr</w:t>
      </w:r>
      <w:r w:rsidR="00B546CE">
        <w:rPr>
          <w:rFonts w:ascii="Arial Narrow" w:hAnsi="Arial Narrow" w:cs="Tahoma"/>
          <w:sz w:val="22"/>
        </w:rPr>
        <w:t>oss wage amounted to 2,171</w:t>
      </w:r>
      <w:r w:rsidRPr="00390647">
        <w:rPr>
          <w:rFonts w:ascii="Arial Narrow" w:hAnsi="Arial Narrow" w:cs="Tahoma"/>
          <w:sz w:val="22"/>
        </w:rPr>
        <w:t xml:space="preserve"> KM. </w:t>
      </w:r>
    </w:p>
    <w:p w:rsidR="002579B7" w:rsidRPr="00390647" w:rsidRDefault="002579B7" w:rsidP="002579B7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579B7" w:rsidRPr="00390647" w:rsidRDefault="002579B7" w:rsidP="002579B7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</w:t>
      </w:r>
      <w:r w:rsidR="00B546CE"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2024, the highest average net wage, by section of economic activities, was paid in the section </w:t>
      </w:r>
      <w:r w:rsidRPr="00390647">
        <w:rPr>
          <w:rFonts w:ascii="Arial Narrow" w:hAnsi="Arial Narrow" w:cs="Tahoma"/>
          <w:i/>
          <w:sz w:val="22"/>
        </w:rPr>
        <w:t xml:space="preserve">Financial and insurance activities </w:t>
      </w:r>
      <w:r w:rsidR="00B546CE">
        <w:rPr>
          <w:rFonts w:ascii="Arial Narrow" w:hAnsi="Arial Narrow" w:cs="Tahoma"/>
          <w:sz w:val="22"/>
        </w:rPr>
        <w:t>and it amounted to 1,814</w:t>
      </w:r>
      <w:r w:rsidRPr="00390647">
        <w:rPr>
          <w:rFonts w:ascii="Arial Narrow" w:hAnsi="Arial Narrow" w:cs="Tahoma"/>
          <w:sz w:val="22"/>
        </w:rPr>
        <w:t xml:space="preserve"> KM. On the other hand, the lowest average net wage in </w:t>
      </w:r>
      <w:r w:rsidR="00B546CE"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 was the one paid in the section </w:t>
      </w:r>
      <w:r w:rsidRPr="00390647">
        <w:rPr>
          <w:rFonts w:ascii="Arial Narrow" w:hAnsi="Arial Narrow" w:cs="Tahoma"/>
          <w:i/>
          <w:sz w:val="22"/>
        </w:rPr>
        <w:t>Construction</w:t>
      </w:r>
      <w:r w:rsidR="00B546CE">
        <w:rPr>
          <w:rFonts w:ascii="Arial Narrow" w:hAnsi="Arial Narrow" w:cs="Tahoma"/>
          <w:sz w:val="22"/>
        </w:rPr>
        <w:t>, 1,129</w:t>
      </w:r>
      <w:r w:rsidRPr="00390647">
        <w:rPr>
          <w:rFonts w:ascii="Arial Narrow" w:hAnsi="Arial Narrow" w:cs="Tahoma"/>
          <w:sz w:val="22"/>
        </w:rPr>
        <w:t xml:space="preserve"> KM</w:t>
      </w:r>
      <w:r w:rsidR="00B546CE">
        <w:rPr>
          <w:rFonts w:ascii="Arial Narrow" w:hAnsi="Arial Narrow" w:cs="Tahoma"/>
          <w:sz w:val="22"/>
        </w:rPr>
        <w:t>.</w:t>
      </w:r>
    </w:p>
    <w:p w:rsidR="002579B7" w:rsidRPr="00390647" w:rsidRDefault="002579B7" w:rsidP="002579B7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579B7" w:rsidRPr="00390647" w:rsidRDefault="002579B7" w:rsidP="002579B7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</w:t>
      </w:r>
      <w:r w:rsidR="00B546CE"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2024, compared to </w:t>
      </w:r>
      <w:r w:rsidR="00B546CE"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2023, a nominal increase in net wages was recorded in all sections of economic activity, with the highest increase being recorded in the section</w:t>
      </w:r>
      <w:r w:rsidR="00B546CE">
        <w:rPr>
          <w:rFonts w:ascii="Arial Narrow" w:hAnsi="Arial Narrow" w:cs="Tahoma"/>
          <w:sz w:val="22"/>
        </w:rPr>
        <w:t xml:space="preserve"> </w:t>
      </w:r>
      <w:r w:rsidR="00B546CE" w:rsidRPr="005B3C8A">
        <w:rPr>
          <w:rFonts w:ascii="Arial Narrow" w:hAnsi="Arial Narrow" w:cs="Tahoma"/>
          <w:i/>
          <w:sz w:val="22"/>
        </w:rPr>
        <w:t>Professional, scientific a</w:t>
      </w:r>
      <w:r w:rsidR="005B3C8A">
        <w:rPr>
          <w:rFonts w:ascii="Arial Narrow" w:hAnsi="Arial Narrow" w:cs="Tahoma"/>
          <w:i/>
          <w:sz w:val="22"/>
        </w:rPr>
        <w:t>nd</w:t>
      </w:r>
      <w:r w:rsidR="00B546CE" w:rsidRPr="005B3C8A">
        <w:rPr>
          <w:rFonts w:ascii="Arial Narrow" w:hAnsi="Arial Narrow" w:cs="Tahoma"/>
          <w:i/>
          <w:sz w:val="22"/>
        </w:rPr>
        <w:t xml:space="preserve"> technical activities</w:t>
      </w:r>
      <w:r w:rsidR="00B546CE">
        <w:rPr>
          <w:rFonts w:ascii="Arial Narrow" w:hAnsi="Arial Narrow" w:cs="Tahoma"/>
          <w:sz w:val="22"/>
        </w:rPr>
        <w:t xml:space="preserve"> </w:t>
      </w:r>
      <w:r w:rsidR="005B3C8A">
        <w:rPr>
          <w:rFonts w:ascii="Arial Narrow" w:hAnsi="Arial Narrow" w:cs="Tahoma"/>
          <w:sz w:val="22"/>
        </w:rPr>
        <w:t>24.9%, followed by</w:t>
      </w:r>
      <w:r w:rsidRPr="00390647">
        <w:rPr>
          <w:rFonts w:ascii="Arial Narrow" w:hAnsi="Arial Narrow" w:cs="Tahoma"/>
          <w:sz w:val="22"/>
        </w:rPr>
        <w:t xml:space="preserve"> </w:t>
      </w:r>
      <w:r w:rsidRPr="00390647">
        <w:rPr>
          <w:rFonts w:ascii="Arial Narrow" w:hAnsi="Arial Narrow" w:cs="Tahoma"/>
          <w:i/>
          <w:sz w:val="22"/>
        </w:rPr>
        <w:t xml:space="preserve">Administrative and support service activities </w:t>
      </w:r>
      <w:r w:rsidR="005B3C8A">
        <w:rPr>
          <w:rFonts w:ascii="Arial Narrow" w:hAnsi="Arial Narrow" w:cs="Tahoma"/>
          <w:sz w:val="22"/>
        </w:rPr>
        <w:t>21.1</w:t>
      </w:r>
      <w:r w:rsidRPr="00390647">
        <w:rPr>
          <w:rFonts w:ascii="Arial Narrow" w:hAnsi="Arial Narrow" w:cs="Tahoma"/>
          <w:sz w:val="22"/>
        </w:rPr>
        <w:t>%</w:t>
      </w:r>
      <w:r w:rsidR="005B3C8A">
        <w:rPr>
          <w:rFonts w:ascii="Arial Narrow" w:hAnsi="Arial Narrow" w:cs="Tahoma"/>
          <w:sz w:val="22"/>
        </w:rPr>
        <w:t xml:space="preserve"> and </w:t>
      </w:r>
      <w:r w:rsidR="005B3C8A" w:rsidRPr="005B3C8A">
        <w:rPr>
          <w:rFonts w:ascii="Arial Narrow" w:hAnsi="Arial Narrow" w:cs="Tahoma"/>
          <w:i/>
          <w:sz w:val="22"/>
        </w:rPr>
        <w:t>Wholesale and retail trade, repair of motor vehicles and motorcycles</w:t>
      </w:r>
      <w:r w:rsidR="005B3C8A" w:rsidRPr="005B3C8A">
        <w:rPr>
          <w:rFonts w:ascii="Arial Narrow" w:hAnsi="Arial Narrow" w:cs="Tahoma"/>
          <w:sz w:val="22"/>
        </w:rPr>
        <w:t xml:space="preserve"> </w:t>
      </w:r>
      <w:r w:rsidR="005B3C8A">
        <w:rPr>
          <w:rFonts w:ascii="Arial Narrow" w:hAnsi="Arial Narrow" w:cs="Tahoma"/>
          <w:sz w:val="22"/>
        </w:rPr>
        <w:t>18.1</w:t>
      </w:r>
      <w:r w:rsidRPr="00390647">
        <w:rPr>
          <w:rFonts w:ascii="Arial Narrow" w:hAnsi="Arial Narrow" w:cs="Tahoma"/>
          <w:sz w:val="22"/>
        </w:rPr>
        <w:t xml:space="preserve">%. </w:t>
      </w:r>
    </w:p>
    <w:p w:rsidR="00374B48" w:rsidRPr="00013CF4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013CF4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13CF4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13CF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13CF4">
        <w:rPr>
          <w:rFonts w:ascii="Tahoma" w:hAnsi="Tahoma" w:cs="Tahoma"/>
          <w:i/>
          <w:sz w:val="14"/>
          <w:lang w:val="sr-Cyrl-CS"/>
        </w:rPr>
        <w:t xml:space="preserve"> </w:t>
      </w:r>
      <w:r w:rsidRPr="00013CF4">
        <w:rPr>
          <w:rFonts w:ascii="Tahoma" w:hAnsi="Tahoma" w:cs="Tahoma"/>
          <w:sz w:val="14"/>
          <w:lang w:val="sr-Cyrl-CS"/>
        </w:rPr>
        <w:t xml:space="preserve">   </w:t>
      </w:r>
      <w:r w:rsidRPr="00013CF4">
        <w:rPr>
          <w:rFonts w:ascii="Tahoma" w:hAnsi="Tahoma" w:cs="Tahoma"/>
          <w:sz w:val="14"/>
          <w:lang w:val="sr-Latn-CS"/>
        </w:rPr>
        <w:tab/>
      </w:r>
      <w:r w:rsidRPr="00013CF4">
        <w:rPr>
          <w:rFonts w:ascii="Tahoma" w:hAnsi="Tahoma" w:cs="Tahoma"/>
          <w:sz w:val="14"/>
          <w:lang w:val="sr-Latn-CS"/>
        </w:rPr>
        <w:tab/>
      </w:r>
      <w:r w:rsidRPr="00013CF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13CF4">
        <w:rPr>
          <w:rFonts w:ascii="Tahoma" w:hAnsi="Tahoma" w:cs="Tahoma"/>
          <w:sz w:val="14"/>
          <w:lang w:val="sr-Cyrl-BA"/>
        </w:rPr>
        <w:t xml:space="preserve">  </w:t>
      </w:r>
      <w:r w:rsidR="0062701E" w:rsidRPr="00013CF4">
        <w:rPr>
          <w:rFonts w:ascii="Tahoma" w:hAnsi="Tahoma" w:cs="Tahoma"/>
          <w:sz w:val="14"/>
          <w:lang w:val="sr-Cyrl-BA"/>
        </w:rPr>
        <w:t xml:space="preserve"> </w:t>
      </w:r>
      <w:r w:rsidR="00F85AAC" w:rsidRPr="00013CF4">
        <w:rPr>
          <w:rFonts w:ascii="Tahoma" w:hAnsi="Tahoma" w:cs="Tahoma"/>
          <w:sz w:val="14"/>
          <w:lang w:val="sr-Cyrl-BA"/>
        </w:rPr>
        <w:t xml:space="preserve"> </w:t>
      </w:r>
      <w:r w:rsidR="00DE7AB2" w:rsidRPr="00013CF4">
        <w:rPr>
          <w:rFonts w:ascii="Arial Narrow" w:hAnsi="Arial Narrow" w:cs="Tahoma"/>
          <w:sz w:val="16"/>
          <w:szCs w:val="22"/>
        </w:rPr>
        <w:t>KM</w:t>
      </w:r>
    </w:p>
    <w:p w:rsidR="00E33D13" w:rsidRPr="00013CF4" w:rsidRDefault="00425891" w:rsidP="00E33D13">
      <w:pPr>
        <w:jc w:val="center"/>
        <w:rPr>
          <w:rFonts w:ascii="Tahoma" w:hAnsi="Tahoma" w:cs="Tahoma"/>
          <w:lang w:val="sr-Cyrl-BA"/>
        </w:rPr>
      </w:pPr>
      <w:r w:rsidRPr="00013CF4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13CF4">
        <w:rPr>
          <w:noProof/>
        </w:rPr>
        <w:t xml:space="preserve"> </w:t>
      </w:r>
      <w:r w:rsidR="00E33D13" w:rsidRPr="00013CF4">
        <w:rPr>
          <w:rFonts w:ascii="Tahoma" w:hAnsi="Tahoma" w:cs="Tahoma"/>
          <w:szCs w:val="18"/>
          <w:lang w:val="sr-Cyrl-BA"/>
        </w:rPr>
        <w:t xml:space="preserve"> </w:t>
      </w:r>
      <w:r w:rsidR="00A2147D" w:rsidRPr="00013CF4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13CF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B3C8A" w:rsidRPr="00390647" w:rsidRDefault="005B3C8A" w:rsidP="005B3C8A">
      <w:pPr>
        <w:jc w:val="center"/>
        <w:outlineLvl w:val="0"/>
        <w:rPr>
          <w:rFonts w:ascii="Arial Narrow" w:hAnsi="Arial Narrow" w:cs="Tahoma"/>
          <w:color w:val="000000" w:themeColor="text1"/>
          <w:sz w:val="16"/>
          <w:szCs w:val="22"/>
        </w:rPr>
      </w:pPr>
      <w:r w:rsidRPr="00390647">
        <w:rPr>
          <w:rFonts w:ascii="Arial Narrow" w:hAnsi="Arial Narrow" w:cs="Tahoma"/>
          <w:color w:val="000000" w:themeColor="text1"/>
          <w:sz w:val="16"/>
          <w:szCs w:val="22"/>
        </w:rPr>
        <w:t>Graph 1. Average net wages by month</w:t>
      </w:r>
      <w:r>
        <w:rPr>
          <w:rFonts w:ascii="Arial Narrow" w:hAnsi="Arial Narrow" w:cs="Tahoma"/>
          <w:color w:val="000000" w:themeColor="text1"/>
          <w:sz w:val="16"/>
          <w:szCs w:val="22"/>
        </w:rPr>
        <w:t xml:space="preserve"> </w:t>
      </w:r>
    </w:p>
    <w:p w:rsidR="00B0137B" w:rsidRPr="00013CF4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13CF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13CF4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13CF4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13CF4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13CF4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13CF4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50A62" w:rsidRPr="00013CF4" w:rsidRDefault="00050A6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13CF4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13CF4" w:rsidRDefault="005B3C8A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390647">
        <w:rPr>
          <w:rFonts w:ascii="Arial Narrow" w:hAnsi="Arial Narrow" w:cs="Tahoma"/>
          <w:b/>
          <w:sz w:val="28"/>
          <w:szCs w:val="24"/>
        </w:rPr>
        <w:t xml:space="preserve">Monthly inflation </w:t>
      </w:r>
      <w:r>
        <w:rPr>
          <w:rFonts w:ascii="Arial Narrow" w:hAnsi="Arial Narrow" w:cs="Tahoma"/>
          <w:b/>
          <w:sz w:val="28"/>
          <w:szCs w:val="24"/>
        </w:rPr>
        <w:t xml:space="preserve">in October </w:t>
      </w:r>
      <w:r w:rsidR="003A5D60" w:rsidRPr="00013CF4">
        <w:rPr>
          <w:rFonts w:ascii="Arial Narrow" w:hAnsi="Arial Narrow" w:cs="Tahoma"/>
          <w:b/>
          <w:sz w:val="28"/>
          <w:szCs w:val="24"/>
          <w:lang w:val="sr-Cyrl-BA"/>
        </w:rPr>
        <w:t>2024</w:t>
      </w:r>
      <w:r>
        <w:rPr>
          <w:rFonts w:ascii="Arial Narrow" w:hAnsi="Arial Narrow" w:cs="Tahoma"/>
          <w:b/>
          <w:sz w:val="28"/>
          <w:szCs w:val="24"/>
          <w:lang w:val="sr-Cyrl-BA"/>
        </w:rPr>
        <w:t xml:space="preserve"> </w:t>
      </w:r>
      <w:r>
        <w:rPr>
          <w:rFonts w:ascii="Arial Narrow" w:hAnsi="Arial Narrow" w:cs="Tahoma"/>
          <w:b/>
          <w:sz w:val="28"/>
          <w:szCs w:val="24"/>
          <w:lang w:val="sr-Cyrl-CS"/>
        </w:rPr>
        <w:t>0.</w:t>
      </w:r>
      <w:r w:rsidR="00EB56A2" w:rsidRPr="00013CF4">
        <w:rPr>
          <w:rFonts w:ascii="Arial Narrow" w:hAnsi="Arial Narrow" w:cs="Tahoma"/>
          <w:b/>
          <w:sz w:val="28"/>
          <w:szCs w:val="24"/>
          <w:lang w:val="sr-Cyrl-CS"/>
        </w:rPr>
        <w:t>1</w:t>
      </w:r>
      <w:r w:rsidR="00B50951" w:rsidRPr="00013CF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13CF4" w:rsidRDefault="003571F5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390647">
        <w:rPr>
          <w:rFonts w:ascii="Arial Narrow" w:hAnsi="Arial Narrow" w:cs="Tahoma"/>
          <w:b/>
          <w:sz w:val="28"/>
          <w:szCs w:val="24"/>
        </w:rPr>
        <w:t xml:space="preserve">Annual inflation </w:t>
      </w:r>
      <w:r w:rsidR="00B50951" w:rsidRPr="00013CF4">
        <w:rPr>
          <w:rFonts w:ascii="Arial Narrow" w:hAnsi="Arial Narrow" w:cs="Tahoma"/>
          <w:b/>
          <w:sz w:val="28"/>
          <w:szCs w:val="24"/>
          <w:lang w:val="sr-Cyrl-BA"/>
        </w:rPr>
        <w:t>(</w:t>
      </w:r>
      <w:r>
        <w:rPr>
          <w:rFonts w:ascii="Arial Narrow" w:hAnsi="Arial Narrow" w:cs="Tahoma"/>
          <w:b/>
          <w:sz w:val="28"/>
          <w:szCs w:val="24"/>
          <w:lang w:val="en-GB"/>
        </w:rPr>
        <w:t>October</w:t>
      </w:r>
      <w:r w:rsidR="003A5D60" w:rsidRPr="00013CF4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B50951" w:rsidRPr="00013CF4">
        <w:rPr>
          <w:rFonts w:ascii="Arial Narrow" w:hAnsi="Arial Narrow" w:cs="Tahoma"/>
          <w:b/>
          <w:sz w:val="28"/>
          <w:szCs w:val="24"/>
          <w:lang w:val="sr-Cyrl-BA"/>
        </w:rPr>
        <w:t>/</w:t>
      </w:r>
      <w:r>
        <w:rPr>
          <w:rFonts w:ascii="Arial Narrow" w:hAnsi="Arial Narrow" w:cs="Tahoma"/>
          <w:b/>
          <w:sz w:val="28"/>
          <w:szCs w:val="24"/>
          <w:lang w:val="en-GB"/>
        </w:rPr>
        <w:t xml:space="preserve">October </w:t>
      </w:r>
      <w:r w:rsidR="003A5D60" w:rsidRPr="00013CF4">
        <w:rPr>
          <w:rFonts w:ascii="Arial Narrow" w:hAnsi="Arial Narrow" w:cs="Tahoma"/>
          <w:b/>
          <w:sz w:val="28"/>
          <w:szCs w:val="24"/>
          <w:lang w:val="sr-Cyrl-BA"/>
        </w:rPr>
        <w:t>2023</w:t>
      </w:r>
      <w:r w:rsidR="00C679AA" w:rsidRPr="00013CF4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EB56A2" w:rsidRPr="00013CF4">
        <w:rPr>
          <w:rFonts w:ascii="Arial Narrow" w:hAnsi="Arial Narrow" w:cs="Tahoma"/>
          <w:b/>
          <w:sz w:val="28"/>
          <w:szCs w:val="24"/>
          <w:lang w:val="en-GB"/>
        </w:rPr>
        <w:t>0</w:t>
      </w:r>
      <w:r>
        <w:rPr>
          <w:rFonts w:ascii="Arial Narrow" w:hAnsi="Arial Narrow" w:cs="Tahoma"/>
          <w:b/>
          <w:sz w:val="28"/>
          <w:szCs w:val="24"/>
          <w:lang w:val="sr-Cyrl-BA"/>
        </w:rPr>
        <w:t>.</w:t>
      </w:r>
      <w:r w:rsidR="00050A62" w:rsidRPr="00013CF4">
        <w:rPr>
          <w:rFonts w:ascii="Arial Narrow" w:hAnsi="Arial Narrow" w:cs="Tahoma"/>
          <w:b/>
          <w:sz w:val="28"/>
          <w:szCs w:val="24"/>
          <w:lang w:val="sr-Cyrl-BA"/>
        </w:rPr>
        <w:t>5</w:t>
      </w:r>
      <w:r w:rsidR="00B50951" w:rsidRPr="00013CF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13CF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571F5" w:rsidRPr="00390647" w:rsidRDefault="003571F5" w:rsidP="003571F5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Prices of products and services used for personal consumption in </w:t>
      </w:r>
      <w:proofErr w:type="spellStart"/>
      <w:r w:rsidRPr="00390647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390647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390647">
        <w:rPr>
          <w:rFonts w:ascii="Arial Narrow" w:hAnsi="Arial Narrow" w:cs="Tahoma"/>
          <w:sz w:val="22"/>
          <w:szCs w:val="22"/>
        </w:rPr>
        <w:t>Srpska</w:t>
      </w:r>
      <w:proofErr w:type="spellEnd"/>
      <w:r w:rsidRPr="00390647">
        <w:rPr>
          <w:rFonts w:ascii="Arial Narrow" w:hAnsi="Arial Narrow" w:cs="Tahoma"/>
          <w:sz w:val="22"/>
          <w:szCs w:val="22"/>
        </w:rPr>
        <w:t xml:space="preserve">, measured with the consumer price index, in </w:t>
      </w:r>
      <w:r w:rsidR="002443C6">
        <w:rPr>
          <w:rFonts w:ascii="Arial Narrow" w:hAnsi="Arial Narrow" w:cs="Tahoma"/>
          <w:sz w:val="22"/>
          <w:szCs w:val="22"/>
        </w:rPr>
        <w:t>October</w:t>
      </w:r>
      <w:r w:rsidRPr="00390647">
        <w:rPr>
          <w:rFonts w:ascii="Arial Narrow" w:hAnsi="Arial Narrow" w:cs="Tahoma"/>
          <w:sz w:val="22"/>
          <w:szCs w:val="22"/>
        </w:rPr>
        <w:t xml:space="preserve"> 2024, compared to the previous month, remained on average </w:t>
      </w:r>
      <w:r w:rsidR="002443C6">
        <w:rPr>
          <w:rFonts w:ascii="Arial Narrow" w:hAnsi="Arial Narrow" w:cs="Tahoma"/>
          <w:sz w:val="22"/>
          <w:szCs w:val="22"/>
        </w:rPr>
        <w:t>0.1% higher</w:t>
      </w:r>
      <w:r w:rsidRPr="00390647">
        <w:rPr>
          <w:rFonts w:ascii="Arial Narrow" w:hAnsi="Arial Narrow" w:cs="Tahoma"/>
          <w:sz w:val="22"/>
          <w:szCs w:val="22"/>
        </w:rPr>
        <w:t>, while compared to the same month of the previous year the</w:t>
      </w:r>
      <w:r w:rsidR="002443C6">
        <w:rPr>
          <w:rFonts w:ascii="Arial Narrow" w:hAnsi="Arial Narrow" w:cs="Tahoma"/>
          <w:sz w:val="22"/>
          <w:szCs w:val="22"/>
        </w:rPr>
        <w:t>y were on average 0</w:t>
      </w:r>
      <w:r w:rsidRPr="00390647">
        <w:rPr>
          <w:rFonts w:ascii="Arial Narrow" w:hAnsi="Arial Narrow" w:cs="Tahoma"/>
          <w:sz w:val="22"/>
          <w:szCs w:val="22"/>
        </w:rPr>
        <w:t>.5% higher.</w:t>
      </w:r>
    </w:p>
    <w:p w:rsidR="003571F5" w:rsidRPr="00390647" w:rsidRDefault="003571F5" w:rsidP="003571F5">
      <w:pPr>
        <w:jc w:val="both"/>
        <w:rPr>
          <w:rFonts w:ascii="Arial Narrow" w:hAnsi="Arial Narrow" w:cs="Tahoma"/>
          <w:sz w:val="22"/>
          <w:szCs w:val="22"/>
        </w:rPr>
      </w:pPr>
    </w:p>
    <w:p w:rsidR="003571F5" w:rsidRPr="00013CF4" w:rsidRDefault="003571F5" w:rsidP="003571F5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390647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="002443C6">
        <w:rPr>
          <w:rFonts w:ascii="Arial Narrow" w:hAnsi="Arial Narrow" w:cs="Tahoma"/>
          <w:sz w:val="22"/>
          <w:szCs w:val="22"/>
        </w:rPr>
        <w:t>seven</w:t>
      </w:r>
      <w:r w:rsidRPr="00390647">
        <w:rPr>
          <w:rFonts w:ascii="Arial Narrow" w:hAnsi="Arial Narrow" w:cs="Tahoma"/>
          <w:sz w:val="22"/>
          <w:szCs w:val="22"/>
        </w:rPr>
        <w:t xml:space="preserve"> divisions, while a decrease was recorded in </w:t>
      </w:r>
      <w:r w:rsidR="002443C6">
        <w:rPr>
          <w:rFonts w:ascii="Arial Narrow" w:hAnsi="Arial Narrow" w:cs="Tahoma"/>
          <w:sz w:val="22"/>
          <w:szCs w:val="22"/>
        </w:rPr>
        <w:t>five</w:t>
      </w:r>
      <w:r w:rsidRPr="00390647">
        <w:rPr>
          <w:rFonts w:ascii="Arial Narrow" w:hAnsi="Arial Narrow" w:cs="Tahoma"/>
          <w:sz w:val="22"/>
          <w:szCs w:val="22"/>
        </w:rPr>
        <w:t xml:space="preserve"> division</w:t>
      </w:r>
      <w:r>
        <w:rPr>
          <w:rFonts w:ascii="Arial Narrow" w:hAnsi="Arial Narrow" w:cs="Tahoma"/>
          <w:sz w:val="22"/>
          <w:szCs w:val="22"/>
        </w:rPr>
        <w:t>.</w:t>
      </w:r>
    </w:p>
    <w:p w:rsidR="002443C6" w:rsidRPr="00390647" w:rsidRDefault="002443C6" w:rsidP="002443C6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>
        <w:rPr>
          <w:rFonts w:ascii="Arial Narrow" w:hAnsi="Arial Narrow" w:cs="Tahoma"/>
          <w:sz w:val="22"/>
          <w:szCs w:val="22"/>
        </w:rPr>
        <w:t>October</w:t>
      </w:r>
      <w:r w:rsidRPr="00390647">
        <w:rPr>
          <w:rFonts w:ascii="Arial Narrow" w:hAnsi="Arial Narrow" w:cs="Tahoma"/>
          <w:sz w:val="22"/>
          <w:szCs w:val="22"/>
        </w:rPr>
        <w:t xml:space="preserve"> 2024 was recorded in the division </w:t>
      </w:r>
      <w:r w:rsidR="005B20DE">
        <w:rPr>
          <w:rFonts w:ascii="Arial Narrow" w:hAnsi="Arial Narrow" w:cs="Tahoma"/>
          <w:i/>
          <w:sz w:val="22"/>
          <w:szCs w:val="22"/>
        </w:rPr>
        <w:t>Restaurants and hotels</w:t>
      </w:r>
      <w:r w:rsidRPr="00390647"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by 6.5</w:t>
      </w:r>
      <w:r w:rsidRPr="00390647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5B20DE" w:rsidRPr="002322BE">
        <w:rPr>
          <w:rFonts w:ascii="Arial Narrow" w:hAnsi="Arial Narrow" w:cs="Tahoma"/>
          <w:sz w:val="22"/>
          <w:szCs w:val="22"/>
        </w:rPr>
        <w:t>f</w:t>
      </w:r>
      <w:r w:rsidR="00C253B2" w:rsidRPr="002322BE">
        <w:rPr>
          <w:rFonts w:ascii="Arial Narrow" w:hAnsi="Arial Narrow" w:cs="Tahoma"/>
          <w:sz w:val="22"/>
          <w:szCs w:val="22"/>
        </w:rPr>
        <w:t>ood and beverage</w:t>
      </w:r>
      <w:r w:rsidR="00A47F93" w:rsidRPr="002322BE">
        <w:rPr>
          <w:rFonts w:ascii="Arial Narrow" w:hAnsi="Arial Narrow" w:cs="Tahoma"/>
          <w:sz w:val="22"/>
          <w:szCs w:val="22"/>
        </w:rPr>
        <w:t>s in catering</w:t>
      </w:r>
      <w:r w:rsidR="00A47F93" w:rsidRPr="00A47F93">
        <w:rPr>
          <w:rFonts w:ascii="Arial Narrow" w:hAnsi="Arial Narrow" w:cs="Tahoma"/>
          <w:b/>
          <w:sz w:val="22"/>
          <w:szCs w:val="22"/>
        </w:rPr>
        <w:t xml:space="preserve"> </w:t>
      </w:r>
      <w:r w:rsidR="00A47F93">
        <w:rPr>
          <w:rFonts w:ascii="Arial Narrow" w:hAnsi="Arial Narrow" w:cs="Tahoma"/>
          <w:sz w:val="22"/>
          <w:szCs w:val="22"/>
        </w:rPr>
        <w:t>by 6.9</w:t>
      </w:r>
      <w:r w:rsidRPr="00390647">
        <w:rPr>
          <w:rFonts w:ascii="Arial Narrow" w:hAnsi="Arial Narrow" w:cs="Tahoma"/>
          <w:sz w:val="22"/>
          <w:szCs w:val="22"/>
        </w:rPr>
        <w:t>%</w:t>
      </w:r>
      <w:r w:rsidR="00A47F93">
        <w:rPr>
          <w:rFonts w:ascii="Arial Narrow" w:hAnsi="Arial Narrow" w:cs="Tahoma"/>
          <w:sz w:val="22"/>
          <w:szCs w:val="22"/>
        </w:rPr>
        <w:t>, followed by</w:t>
      </w:r>
      <w:r w:rsidR="006B099F">
        <w:rPr>
          <w:rFonts w:ascii="Arial Narrow" w:hAnsi="Arial Narrow" w:cs="Tahoma"/>
          <w:sz w:val="22"/>
          <w:szCs w:val="22"/>
        </w:rPr>
        <w:t xml:space="preserve"> an increase in</w:t>
      </w:r>
      <w:r w:rsidR="00A47F93">
        <w:rPr>
          <w:rFonts w:ascii="Arial Narrow" w:hAnsi="Arial Narrow" w:cs="Tahoma"/>
          <w:sz w:val="22"/>
          <w:szCs w:val="22"/>
        </w:rPr>
        <w:t xml:space="preserve"> the division </w:t>
      </w:r>
      <w:r w:rsidR="00A47F93" w:rsidRPr="00A47F93">
        <w:rPr>
          <w:rFonts w:ascii="Arial Narrow" w:hAnsi="Arial Narrow" w:cs="Tahoma"/>
          <w:i/>
          <w:sz w:val="22"/>
          <w:szCs w:val="22"/>
        </w:rPr>
        <w:t>Alcohol</w:t>
      </w:r>
      <w:r w:rsidR="00A47F93">
        <w:rPr>
          <w:rFonts w:ascii="Arial Narrow" w:hAnsi="Arial Narrow" w:cs="Tahoma"/>
          <w:i/>
          <w:sz w:val="22"/>
          <w:szCs w:val="22"/>
        </w:rPr>
        <w:t>ic</w:t>
      </w:r>
      <w:r w:rsidR="00A47F93" w:rsidRPr="00A47F93">
        <w:rPr>
          <w:rFonts w:ascii="Arial Narrow" w:hAnsi="Arial Narrow" w:cs="Tahoma"/>
          <w:i/>
          <w:sz w:val="22"/>
          <w:szCs w:val="22"/>
        </w:rPr>
        <w:t xml:space="preserve"> </w:t>
      </w:r>
      <w:r w:rsidR="00A47F93">
        <w:rPr>
          <w:rFonts w:ascii="Arial Narrow" w:hAnsi="Arial Narrow" w:cs="Tahoma"/>
          <w:i/>
          <w:sz w:val="22"/>
          <w:szCs w:val="22"/>
        </w:rPr>
        <w:t>beverages</w:t>
      </w:r>
      <w:r w:rsidR="00A47F93" w:rsidRPr="00A47F93">
        <w:rPr>
          <w:rFonts w:ascii="Arial Narrow" w:hAnsi="Arial Narrow" w:cs="Tahoma"/>
          <w:i/>
          <w:sz w:val="22"/>
          <w:szCs w:val="22"/>
        </w:rPr>
        <w:t xml:space="preserve"> and tobacco</w:t>
      </w:r>
      <w:r w:rsidR="00A47F93">
        <w:rPr>
          <w:rFonts w:ascii="Arial Narrow" w:hAnsi="Arial Narrow" w:cs="Tahoma"/>
          <w:sz w:val="22"/>
          <w:szCs w:val="22"/>
        </w:rPr>
        <w:t xml:space="preserve"> </w:t>
      </w:r>
      <w:r w:rsidR="006B099F">
        <w:rPr>
          <w:rFonts w:ascii="Arial Narrow" w:hAnsi="Arial Narrow" w:cs="Tahoma"/>
          <w:sz w:val="22"/>
          <w:szCs w:val="22"/>
        </w:rPr>
        <w:t xml:space="preserve">by </w:t>
      </w:r>
      <w:r w:rsidR="00A47F93">
        <w:rPr>
          <w:rFonts w:ascii="Arial Narrow" w:hAnsi="Arial Narrow" w:cs="Tahoma"/>
          <w:sz w:val="22"/>
          <w:szCs w:val="22"/>
        </w:rPr>
        <w:t xml:space="preserve">4.9% due to higher prices in the group </w:t>
      </w:r>
      <w:r w:rsidR="005B20DE">
        <w:rPr>
          <w:rFonts w:ascii="Arial Narrow" w:hAnsi="Arial Narrow" w:cs="Tahoma"/>
          <w:sz w:val="22"/>
          <w:szCs w:val="22"/>
        </w:rPr>
        <w:t>b</w:t>
      </w:r>
      <w:r w:rsidR="00A47F93">
        <w:rPr>
          <w:rFonts w:ascii="Arial Narrow" w:hAnsi="Arial Narrow" w:cs="Tahoma"/>
          <w:sz w:val="22"/>
          <w:szCs w:val="22"/>
        </w:rPr>
        <w:t xml:space="preserve">eer by 5.5%, then in the division </w:t>
      </w:r>
      <w:r w:rsidR="00A47F93" w:rsidRPr="00A47F93">
        <w:rPr>
          <w:rFonts w:ascii="Arial Narrow" w:hAnsi="Arial Narrow" w:cs="Tahoma"/>
          <w:i/>
          <w:sz w:val="22"/>
          <w:szCs w:val="22"/>
        </w:rPr>
        <w:t xml:space="preserve">Other </w:t>
      </w:r>
      <w:r w:rsidR="00A47F93">
        <w:rPr>
          <w:rFonts w:ascii="Arial Narrow" w:hAnsi="Arial Narrow" w:cs="Tahoma"/>
          <w:i/>
          <w:sz w:val="22"/>
          <w:szCs w:val="22"/>
        </w:rPr>
        <w:t>goods</w:t>
      </w:r>
      <w:r w:rsidR="00A47F93" w:rsidRPr="00A47F93">
        <w:rPr>
          <w:rFonts w:ascii="Arial Narrow" w:hAnsi="Arial Narrow" w:cs="Tahoma"/>
          <w:i/>
          <w:sz w:val="22"/>
          <w:szCs w:val="22"/>
        </w:rPr>
        <w:t xml:space="preserve"> and services</w:t>
      </w:r>
      <w:r w:rsidR="00A47F93">
        <w:rPr>
          <w:rFonts w:ascii="Arial Narrow" w:hAnsi="Arial Narrow" w:cs="Tahoma"/>
          <w:sz w:val="22"/>
          <w:szCs w:val="22"/>
        </w:rPr>
        <w:t xml:space="preserve"> 3.5%, due to </w:t>
      </w:r>
      <w:r w:rsidR="005B20DE">
        <w:rPr>
          <w:rFonts w:ascii="Arial Narrow" w:hAnsi="Arial Narrow" w:cs="Tahoma"/>
          <w:sz w:val="22"/>
          <w:szCs w:val="22"/>
        </w:rPr>
        <w:t>an</w:t>
      </w:r>
      <w:r w:rsidR="00A47F93">
        <w:rPr>
          <w:rFonts w:ascii="Arial Narrow" w:hAnsi="Arial Narrow" w:cs="Tahoma"/>
          <w:sz w:val="22"/>
          <w:szCs w:val="22"/>
        </w:rPr>
        <w:t xml:space="preserve"> increase in the group </w:t>
      </w:r>
      <w:r w:rsidR="005B20DE">
        <w:rPr>
          <w:rFonts w:ascii="Arial Narrow" w:hAnsi="Arial Narrow" w:cs="Tahoma"/>
          <w:sz w:val="22"/>
          <w:szCs w:val="22"/>
        </w:rPr>
        <w:t>p</w:t>
      </w:r>
      <w:r w:rsidR="00A47F93">
        <w:rPr>
          <w:rFonts w:ascii="Arial Narrow" w:hAnsi="Arial Narrow" w:cs="Tahoma"/>
          <w:sz w:val="22"/>
          <w:szCs w:val="22"/>
        </w:rPr>
        <w:t>ersonal care products by 11.4%</w:t>
      </w:r>
      <w:r w:rsidR="005B20DE">
        <w:rPr>
          <w:rFonts w:ascii="Arial Narrow" w:hAnsi="Arial Narrow" w:cs="Tahoma"/>
          <w:sz w:val="22"/>
          <w:szCs w:val="22"/>
        </w:rPr>
        <w:t>. An increase in prices by 3.3</w:t>
      </w:r>
      <w:r w:rsidRPr="00390647">
        <w:rPr>
          <w:rFonts w:ascii="Arial Narrow" w:hAnsi="Arial Narrow" w:cs="Tahoma"/>
          <w:sz w:val="22"/>
          <w:szCs w:val="22"/>
        </w:rPr>
        <w:t>%</w:t>
      </w:r>
      <w:r w:rsidR="005B20DE">
        <w:rPr>
          <w:rFonts w:ascii="Arial Narrow" w:hAnsi="Arial Narrow" w:cs="Tahoma"/>
          <w:sz w:val="22"/>
          <w:szCs w:val="22"/>
        </w:rPr>
        <w:t xml:space="preserve"> was</w:t>
      </w:r>
      <w:r w:rsidRPr="00390647">
        <w:rPr>
          <w:rFonts w:ascii="Arial Narrow" w:hAnsi="Arial Narrow" w:cs="Tahoma"/>
          <w:sz w:val="22"/>
          <w:szCs w:val="22"/>
        </w:rPr>
        <w:t xml:space="preserve"> recorded in the division </w:t>
      </w:r>
      <w:r w:rsidR="005B20DE">
        <w:rPr>
          <w:rFonts w:ascii="Arial Narrow" w:hAnsi="Arial Narrow" w:cs="Tahoma"/>
          <w:i/>
          <w:sz w:val="22"/>
          <w:szCs w:val="22"/>
        </w:rPr>
        <w:t>Food and beverages</w:t>
      </w:r>
      <w:r w:rsidRPr="00390647">
        <w:rPr>
          <w:rFonts w:ascii="Arial Narrow" w:hAnsi="Arial Narrow" w:cs="Tahoma"/>
          <w:sz w:val="22"/>
          <w:szCs w:val="22"/>
        </w:rPr>
        <w:t xml:space="preserve"> occurred due to higher prices in the group</w:t>
      </w:r>
      <w:r w:rsidR="005B20DE">
        <w:rPr>
          <w:rFonts w:ascii="Arial Narrow" w:hAnsi="Arial Narrow" w:cs="Tahoma"/>
          <w:sz w:val="22"/>
          <w:szCs w:val="22"/>
        </w:rPr>
        <w:t>s</w:t>
      </w:r>
      <w:r w:rsidRPr="00390647">
        <w:rPr>
          <w:rFonts w:ascii="Arial Narrow" w:hAnsi="Arial Narrow" w:cs="Tahoma"/>
          <w:sz w:val="22"/>
          <w:szCs w:val="22"/>
        </w:rPr>
        <w:t xml:space="preserve"> </w:t>
      </w:r>
      <w:r w:rsidR="005B20DE">
        <w:rPr>
          <w:rFonts w:ascii="Arial Narrow" w:hAnsi="Arial Narrow" w:cs="Tahoma"/>
          <w:sz w:val="22"/>
          <w:szCs w:val="22"/>
        </w:rPr>
        <w:t>non-alcoholic beverages by 15.0</w:t>
      </w:r>
      <w:r w:rsidRPr="00390647">
        <w:rPr>
          <w:rFonts w:ascii="Arial Narrow" w:hAnsi="Arial Narrow" w:cs="Tahoma"/>
          <w:sz w:val="22"/>
          <w:szCs w:val="22"/>
        </w:rPr>
        <w:t>%</w:t>
      </w:r>
      <w:r w:rsidR="005B20DE">
        <w:rPr>
          <w:rFonts w:ascii="Arial Narrow" w:hAnsi="Arial Narrow" w:cs="Tahoma"/>
          <w:sz w:val="22"/>
          <w:szCs w:val="22"/>
        </w:rPr>
        <w:t xml:space="preserve"> and </w:t>
      </w:r>
      <w:r w:rsidR="005B20DE" w:rsidRPr="002322BE">
        <w:rPr>
          <w:rFonts w:ascii="Arial Narrow" w:hAnsi="Arial Narrow" w:cs="Tahoma"/>
          <w:sz w:val="22"/>
          <w:szCs w:val="22"/>
        </w:rPr>
        <w:t xml:space="preserve">sugar and confectionary products </w:t>
      </w:r>
      <w:r w:rsidR="005B20DE">
        <w:rPr>
          <w:rFonts w:ascii="Arial Narrow" w:hAnsi="Arial Narrow" w:cs="Tahoma"/>
          <w:sz w:val="22"/>
          <w:szCs w:val="22"/>
        </w:rPr>
        <w:t xml:space="preserve">by 12.2%. </w:t>
      </w:r>
    </w:p>
    <w:p w:rsidR="002443C6" w:rsidRDefault="002443C6" w:rsidP="00050A6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20DE" w:rsidRPr="00390647" w:rsidRDefault="005B20DE" w:rsidP="005B20DE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390647">
        <w:rPr>
          <w:rFonts w:ascii="Arial Narrow" w:hAnsi="Arial Narrow" w:cs="Tahoma"/>
          <w:i/>
          <w:sz w:val="22"/>
          <w:szCs w:val="22"/>
        </w:rPr>
        <w:t>Health</w:t>
      </w:r>
      <w:r>
        <w:rPr>
          <w:rFonts w:ascii="Arial Narrow" w:hAnsi="Arial Narrow" w:cs="Tahoma"/>
          <w:sz w:val="22"/>
          <w:szCs w:val="22"/>
        </w:rPr>
        <w:t xml:space="preserve"> by 3.1</w:t>
      </w:r>
      <w:r w:rsidRPr="00390647">
        <w:rPr>
          <w:rFonts w:ascii="Arial Narrow" w:hAnsi="Arial Narrow" w:cs="Tahoma"/>
          <w:sz w:val="22"/>
          <w:szCs w:val="22"/>
        </w:rPr>
        <w:t>%, due to higher prices in the group medic</w:t>
      </w:r>
      <w:r>
        <w:rPr>
          <w:rFonts w:ascii="Arial Narrow" w:hAnsi="Arial Narrow" w:cs="Tahoma"/>
          <w:sz w:val="22"/>
          <w:szCs w:val="22"/>
        </w:rPr>
        <w:t>al equipment and supplies by 6.4</w:t>
      </w:r>
      <w:r w:rsidRPr="00390647">
        <w:rPr>
          <w:rFonts w:ascii="Arial Narrow" w:hAnsi="Arial Narrow" w:cs="Tahoma"/>
          <w:sz w:val="22"/>
          <w:szCs w:val="22"/>
        </w:rPr>
        <w:t>%;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8E54E0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 by 1.9%, due to higher prices in the group </w:t>
      </w:r>
      <w:r w:rsidR="000C7752" w:rsidRPr="000C7752">
        <w:rPr>
          <w:rFonts w:ascii="Arial Narrow" w:hAnsi="Arial Narrow" w:cs="Tahoma"/>
          <w:sz w:val="22"/>
          <w:szCs w:val="22"/>
        </w:rPr>
        <w:t>package holidays</w:t>
      </w:r>
      <w:r w:rsidR="008E54E0">
        <w:rPr>
          <w:rFonts w:ascii="Arial Narrow" w:hAnsi="Arial Narrow" w:cs="Tahoma"/>
          <w:sz w:val="22"/>
          <w:szCs w:val="22"/>
        </w:rPr>
        <w:t xml:space="preserve"> by 9.8%, </w:t>
      </w:r>
      <w:r w:rsidR="008E54E0" w:rsidRPr="008E54E0">
        <w:rPr>
          <w:rFonts w:ascii="Arial Narrow" w:hAnsi="Arial Narrow" w:cs="Tahoma"/>
          <w:i/>
          <w:sz w:val="22"/>
          <w:szCs w:val="22"/>
        </w:rPr>
        <w:t>Education</w:t>
      </w:r>
      <w:r w:rsidR="008E54E0">
        <w:rPr>
          <w:rFonts w:ascii="Arial Narrow" w:hAnsi="Arial Narrow" w:cs="Tahoma"/>
          <w:sz w:val="22"/>
          <w:szCs w:val="22"/>
        </w:rPr>
        <w:t xml:space="preserve"> by 0.5%, due to higher prices in the group </w:t>
      </w:r>
      <w:r w:rsidR="000C7752">
        <w:rPr>
          <w:rFonts w:ascii="Arial Narrow" w:hAnsi="Arial Narrow" w:cs="Tahoma"/>
          <w:sz w:val="22"/>
          <w:szCs w:val="22"/>
        </w:rPr>
        <w:t>education non definable</w:t>
      </w:r>
      <w:r w:rsidR="008E54E0" w:rsidRPr="000C7752">
        <w:rPr>
          <w:rFonts w:ascii="Arial Narrow" w:hAnsi="Arial Narrow" w:cs="Tahoma"/>
          <w:sz w:val="22"/>
          <w:szCs w:val="22"/>
        </w:rPr>
        <w:t xml:space="preserve"> by the level</w:t>
      </w:r>
      <w:r w:rsidR="008E54E0">
        <w:rPr>
          <w:rFonts w:ascii="Arial Narrow" w:hAnsi="Arial Narrow" w:cs="Tahoma"/>
          <w:sz w:val="22"/>
          <w:szCs w:val="22"/>
        </w:rPr>
        <w:t xml:space="preserve"> by 4.9%. </w:t>
      </w:r>
      <w:r w:rsidRPr="00390647">
        <w:rPr>
          <w:rFonts w:ascii="Arial Narrow" w:hAnsi="Arial Narrow" w:cs="Tahoma"/>
          <w:sz w:val="22"/>
          <w:szCs w:val="22"/>
        </w:rPr>
        <w:t xml:space="preserve"> </w:t>
      </w:r>
    </w:p>
    <w:p w:rsidR="00050A62" w:rsidRPr="00013CF4" w:rsidRDefault="00050A62" w:rsidP="00050A6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E54E0" w:rsidRPr="00390647" w:rsidRDefault="00CE3D2C" w:rsidP="004A3B71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>
        <w:rPr>
          <w:rFonts w:ascii="Arial Narrow" w:hAnsi="Arial Narrow" w:cs="Tahoma"/>
          <w:sz w:val="22"/>
          <w:szCs w:val="22"/>
        </w:rPr>
        <w:t>October</w:t>
      </w:r>
      <w:r w:rsidRPr="00390647">
        <w:rPr>
          <w:rFonts w:ascii="Arial Narrow" w:hAnsi="Arial Narrow" w:cs="Tahoma"/>
          <w:sz w:val="22"/>
          <w:szCs w:val="22"/>
        </w:rPr>
        <w:t xml:space="preserve"> 2024 was recorded in the </w:t>
      </w:r>
      <w:r w:rsidR="00A73CFA">
        <w:rPr>
          <w:rFonts w:ascii="Arial Narrow" w:hAnsi="Arial Narrow" w:cs="Tahoma"/>
          <w:sz w:val="22"/>
          <w:szCs w:val="22"/>
        </w:rPr>
        <w:t xml:space="preserve">following </w:t>
      </w:r>
      <w:r w:rsidRPr="00390647">
        <w:rPr>
          <w:rFonts w:ascii="Arial Narrow" w:hAnsi="Arial Narrow" w:cs="Tahoma"/>
          <w:sz w:val="22"/>
          <w:szCs w:val="22"/>
        </w:rPr>
        <w:t>division</w:t>
      </w:r>
      <w:r w:rsidR="00A73CFA">
        <w:rPr>
          <w:rFonts w:ascii="Arial Narrow" w:hAnsi="Arial Narrow" w:cs="Tahoma"/>
          <w:sz w:val="22"/>
          <w:szCs w:val="22"/>
        </w:rPr>
        <w:t>s: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A73CFA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by 7.9%, due to lower prices in the group</w:t>
      </w:r>
      <w:r w:rsidRPr="00CE3D2C">
        <w:rPr>
          <w:rFonts w:ascii="Arial Narrow" w:hAnsi="Arial Narrow" w:cs="Tahoma"/>
          <w:b/>
          <w:sz w:val="22"/>
          <w:szCs w:val="22"/>
        </w:rPr>
        <w:t xml:space="preserve"> </w:t>
      </w:r>
      <w:proofErr w:type="spellStart"/>
      <w:r w:rsidRPr="009F25B9">
        <w:rPr>
          <w:rFonts w:ascii="Arial Narrow" w:hAnsi="Arial Narrow" w:cs="Tahoma"/>
          <w:sz w:val="22"/>
          <w:szCs w:val="22"/>
        </w:rPr>
        <w:t>fules</w:t>
      </w:r>
      <w:proofErr w:type="spellEnd"/>
      <w:r w:rsidRPr="009F25B9">
        <w:rPr>
          <w:rFonts w:ascii="Arial Narrow" w:hAnsi="Arial Narrow" w:cs="Tahoma"/>
          <w:sz w:val="22"/>
          <w:szCs w:val="22"/>
        </w:rPr>
        <w:t xml:space="preserve"> and lubricants</w:t>
      </w:r>
      <w:r>
        <w:rPr>
          <w:rFonts w:ascii="Arial Narrow" w:hAnsi="Arial Narrow" w:cs="Tahoma"/>
          <w:sz w:val="22"/>
          <w:szCs w:val="22"/>
        </w:rPr>
        <w:t xml:space="preserve"> by 14.7%, </w:t>
      </w:r>
      <w:r w:rsidRPr="00CE3D2C">
        <w:rPr>
          <w:rFonts w:ascii="Arial Narrow" w:hAnsi="Arial Narrow" w:cs="Tahoma"/>
          <w:i/>
          <w:sz w:val="22"/>
          <w:szCs w:val="22"/>
        </w:rPr>
        <w:t xml:space="preserve">Clothing and </w:t>
      </w:r>
      <w:proofErr w:type="spellStart"/>
      <w:r w:rsidRPr="00CE3D2C">
        <w:rPr>
          <w:rFonts w:ascii="Arial Narrow" w:hAnsi="Arial Narrow" w:cs="Tahoma"/>
          <w:i/>
          <w:sz w:val="22"/>
          <w:szCs w:val="22"/>
        </w:rPr>
        <w:t>footware</w:t>
      </w:r>
      <w:proofErr w:type="spellEnd"/>
      <w:r w:rsidRPr="00CE3D2C">
        <w:rPr>
          <w:rFonts w:ascii="Arial Narrow" w:hAnsi="Arial Narrow" w:cs="Tahoma"/>
          <w:b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by 5.0%,</w:t>
      </w:r>
      <w:r w:rsidRPr="00390647">
        <w:rPr>
          <w:rFonts w:ascii="Arial Narrow" w:hAnsi="Arial Narrow" w:cs="Tahoma"/>
          <w:sz w:val="22"/>
          <w:szCs w:val="22"/>
        </w:rPr>
        <w:t xml:space="preserve"> due to seasonal discounts on ready-made clothi</w:t>
      </w:r>
      <w:r>
        <w:rPr>
          <w:rFonts w:ascii="Arial Narrow" w:hAnsi="Arial Narrow" w:cs="Tahoma"/>
          <w:sz w:val="22"/>
          <w:szCs w:val="22"/>
        </w:rPr>
        <w:t xml:space="preserve">ng and footwear during the year, </w:t>
      </w:r>
      <w:r w:rsidRPr="00A73CFA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 by 2.1%</w:t>
      </w:r>
      <w:r w:rsidR="00A73CFA">
        <w:rPr>
          <w:rFonts w:ascii="Arial Narrow" w:hAnsi="Arial Narrow" w:cs="Tahoma"/>
          <w:sz w:val="22"/>
          <w:szCs w:val="22"/>
        </w:rPr>
        <w:t xml:space="preserve">, due to lower prices in the group </w:t>
      </w:r>
      <w:r w:rsidR="004A3B71" w:rsidRPr="002322BE">
        <w:rPr>
          <w:rFonts w:ascii="Arial Narrow" w:hAnsi="Arial Narrow" w:cs="Tahoma"/>
          <w:sz w:val="22"/>
          <w:szCs w:val="22"/>
        </w:rPr>
        <w:t xml:space="preserve">solid </w:t>
      </w:r>
      <w:r w:rsidR="00A73CFA" w:rsidRPr="002322BE">
        <w:rPr>
          <w:rFonts w:ascii="Arial Narrow" w:hAnsi="Arial Narrow" w:cs="Tahoma"/>
          <w:sz w:val="22"/>
          <w:szCs w:val="22"/>
        </w:rPr>
        <w:t>fuels</w:t>
      </w:r>
      <w:r w:rsidR="00A73CFA">
        <w:rPr>
          <w:rFonts w:ascii="Arial Narrow" w:hAnsi="Arial Narrow" w:cs="Tahoma"/>
          <w:sz w:val="22"/>
          <w:szCs w:val="22"/>
        </w:rPr>
        <w:t xml:space="preserve"> by 9.3%, </w:t>
      </w:r>
      <w:r w:rsidR="00866A70" w:rsidRPr="000C7752">
        <w:rPr>
          <w:rFonts w:ascii="Arial Narrow" w:hAnsi="Arial Narrow" w:cs="Tahoma"/>
          <w:i/>
          <w:sz w:val="22"/>
          <w:szCs w:val="22"/>
        </w:rPr>
        <w:t>F</w:t>
      </w:r>
      <w:r w:rsidR="006C71D1" w:rsidRPr="000C7752">
        <w:rPr>
          <w:rFonts w:ascii="Arial Narrow" w:hAnsi="Arial Narrow" w:cs="Tahoma"/>
          <w:i/>
          <w:sz w:val="22"/>
          <w:szCs w:val="22"/>
        </w:rPr>
        <w:t>urnishing</w:t>
      </w:r>
      <w:r w:rsidR="00866A70" w:rsidRPr="000C7752">
        <w:rPr>
          <w:rFonts w:ascii="Arial Narrow" w:hAnsi="Arial Narrow" w:cs="Tahoma"/>
          <w:i/>
          <w:sz w:val="22"/>
          <w:szCs w:val="22"/>
        </w:rPr>
        <w:t xml:space="preserve"> and household </w:t>
      </w:r>
      <w:r w:rsidR="006C71D1" w:rsidRPr="000C7752">
        <w:rPr>
          <w:rFonts w:ascii="Arial Narrow" w:hAnsi="Arial Narrow" w:cs="Tahoma"/>
          <w:i/>
          <w:sz w:val="22"/>
          <w:szCs w:val="22"/>
        </w:rPr>
        <w:t>equipment</w:t>
      </w:r>
      <w:r w:rsidR="00866A70">
        <w:rPr>
          <w:rFonts w:ascii="Arial Narrow" w:hAnsi="Arial Narrow" w:cs="Tahoma"/>
          <w:sz w:val="22"/>
          <w:szCs w:val="22"/>
        </w:rPr>
        <w:t xml:space="preserve"> by 0.3% due to lower prices in the groups </w:t>
      </w:r>
      <w:r w:rsidR="004A3B71" w:rsidRPr="002322BE">
        <w:rPr>
          <w:rFonts w:ascii="Arial Narrow" w:hAnsi="Arial Narrow" w:cs="Tahoma"/>
          <w:sz w:val="22"/>
          <w:szCs w:val="22"/>
        </w:rPr>
        <w:t>f</w:t>
      </w:r>
      <w:r w:rsidR="006C71D1" w:rsidRPr="002322BE">
        <w:rPr>
          <w:rFonts w:ascii="Arial Narrow" w:hAnsi="Arial Narrow" w:cs="Tahoma"/>
          <w:sz w:val="22"/>
          <w:szCs w:val="22"/>
        </w:rPr>
        <w:t>urnishing</w:t>
      </w:r>
      <w:r w:rsidR="00866A70" w:rsidRPr="002322BE">
        <w:rPr>
          <w:rFonts w:ascii="Arial Narrow" w:hAnsi="Arial Narrow" w:cs="Tahoma"/>
          <w:sz w:val="22"/>
          <w:szCs w:val="22"/>
        </w:rPr>
        <w:t xml:space="preserve"> and </w:t>
      </w:r>
      <w:r w:rsidR="006C71D1" w:rsidRPr="002322BE">
        <w:rPr>
          <w:rFonts w:ascii="Arial Narrow" w:hAnsi="Arial Narrow" w:cs="Tahoma"/>
          <w:sz w:val="22"/>
          <w:szCs w:val="22"/>
        </w:rPr>
        <w:t>household</w:t>
      </w:r>
      <w:r w:rsidR="00866A70" w:rsidRPr="002322BE">
        <w:rPr>
          <w:rFonts w:ascii="Arial Narrow" w:hAnsi="Arial Narrow" w:cs="Tahoma"/>
          <w:sz w:val="22"/>
          <w:szCs w:val="22"/>
        </w:rPr>
        <w:t xml:space="preserve"> equipment</w:t>
      </w:r>
      <w:r w:rsidR="00866A70">
        <w:rPr>
          <w:rFonts w:ascii="Arial Narrow" w:hAnsi="Arial Narrow" w:cs="Tahoma"/>
          <w:sz w:val="22"/>
          <w:szCs w:val="22"/>
        </w:rPr>
        <w:t xml:space="preserve"> and </w:t>
      </w:r>
      <w:r w:rsidR="000C7752" w:rsidRPr="002322BE">
        <w:rPr>
          <w:rFonts w:ascii="Arial Narrow" w:hAnsi="Arial Narrow" w:cs="Tahoma"/>
          <w:sz w:val="22"/>
          <w:szCs w:val="22"/>
        </w:rPr>
        <w:t xml:space="preserve">household </w:t>
      </w:r>
      <w:r w:rsidR="004A3B71" w:rsidRPr="002322BE">
        <w:rPr>
          <w:rFonts w:ascii="Arial Narrow" w:hAnsi="Arial Narrow" w:cs="Tahoma"/>
          <w:sz w:val="22"/>
          <w:szCs w:val="22"/>
        </w:rPr>
        <w:t>t</w:t>
      </w:r>
      <w:r w:rsidR="00866A70" w:rsidRPr="002322BE">
        <w:rPr>
          <w:rFonts w:ascii="Arial Narrow" w:hAnsi="Arial Narrow" w:cs="Tahoma"/>
          <w:sz w:val="22"/>
          <w:szCs w:val="22"/>
        </w:rPr>
        <w:t>extile</w:t>
      </w:r>
      <w:r w:rsidR="000C7752" w:rsidRPr="002322BE">
        <w:rPr>
          <w:rFonts w:ascii="Arial Narrow" w:hAnsi="Arial Narrow" w:cs="Tahoma"/>
          <w:sz w:val="22"/>
          <w:szCs w:val="22"/>
        </w:rPr>
        <w:t>s</w:t>
      </w:r>
      <w:r w:rsidR="000C7752">
        <w:rPr>
          <w:rFonts w:ascii="Arial Narrow" w:hAnsi="Arial Narrow" w:cs="Tahoma"/>
          <w:b/>
          <w:sz w:val="22"/>
          <w:szCs w:val="22"/>
        </w:rPr>
        <w:t xml:space="preserve"> </w:t>
      </w:r>
      <w:r w:rsidR="00866A70">
        <w:rPr>
          <w:rFonts w:ascii="Arial Narrow" w:hAnsi="Arial Narrow" w:cs="Tahoma"/>
          <w:sz w:val="22"/>
          <w:szCs w:val="22"/>
        </w:rPr>
        <w:t>by 2.3%</w:t>
      </w:r>
      <w:r w:rsidR="001B744C">
        <w:rPr>
          <w:rFonts w:ascii="Arial Narrow" w:hAnsi="Arial Narrow" w:cs="Tahoma"/>
          <w:sz w:val="22"/>
          <w:szCs w:val="22"/>
        </w:rPr>
        <w:t xml:space="preserve">. A decrease in prices by 0.1% was also recorded in the division </w:t>
      </w:r>
      <w:r w:rsidR="001B744C" w:rsidRPr="001B744C">
        <w:rPr>
          <w:rFonts w:ascii="Arial Narrow" w:hAnsi="Arial Narrow" w:cs="Tahoma"/>
          <w:i/>
          <w:sz w:val="22"/>
          <w:szCs w:val="22"/>
        </w:rPr>
        <w:t>Communication</w:t>
      </w:r>
      <w:r w:rsidR="000C7752">
        <w:rPr>
          <w:rFonts w:ascii="Arial Narrow" w:hAnsi="Arial Narrow" w:cs="Tahoma"/>
          <w:i/>
          <w:sz w:val="22"/>
          <w:szCs w:val="22"/>
        </w:rPr>
        <w:t>s</w:t>
      </w:r>
      <w:r w:rsidR="004A3B71">
        <w:rPr>
          <w:rFonts w:ascii="Arial Narrow" w:hAnsi="Arial Narrow" w:cs="Tahoma"/>
          <w:i/>
          <w:sz w:val="22"/>
          <w:szCs w:val="22"/>
        </w:rPr>
        <w:t>,</w:t>
      </w:r>
      <w:r w:rsidR="001B744C">
        <w:rPr>
          <w:rFonts w:ascii="Arial Narrow" w:hAnsi="Arial Narrow" w:cs="Tahoma"/>
          <w:sz w:val="22"/>
          <w:szCs w:val="22"/>
        </w:rPr>
        <w:t xml:space="preserve"> due to lower prices in the group </w:t>
      </w:r>
      <w:r w:rsidR="001B744C" w:rsidRPr="00390647">
        <w:rPr>
          <w:rFonts w:ascii="Arial Narrow" w:hAnsi="Arial Narrow" w:cs="Tahoma"/>
          <w:sz w:val="22"/>
          <w:szCs w:val="22"/>
        </w:rPr>
        <w:t>t</w:t>
      </w:r>
      <w:r w:rsidR="001B744C">
        <w:rPr>
          <w:rFonts w:ascii="Arial Narrow" w:hAnsi="Arial Narrow" w:cs="Tahoma"/>
          <w:sz w:val="22"/>
          <w:szCs w:val="22"/>
        </w:rPr>
        <w:t xml:space="preserve">elephone and telecommunication equipment </w:t>
      </w:r>
      <w:r w:rsidR="001B744C" w:rsidRPr="00390647">
        <w:rPr>
          <w:rFonts w:ascii="Arial Narrow" w:hAnsi="Arial Narrow" w:cs="Tahoma"/>
          <w:sz w:val="22"/>
          <w:szCs w:val="22"/>
        </w:rPr>
        <w:t>by</w:t>
      </w:r>
      <w:r w:rsidR="001B744C">
        <w:rPr>
          <w:rFonts w:ascii="Arial Narrow" w:hAnsi="Arial Narrow" w:cs="Tahoma"/>
          <w:sz w:val="22"/>
          <w:szCs w:val="22"/>
        </w:rPr>
        <w:t xml:space="preserve"> 3.0%. </w:t>
      </w:r>
    </w:p>
    <w:p w:rsidR="0017297C" w:rsidRDefault="0017297C" w:rsidP="0017297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</w:p>
    <w:p w:rsidR="0017297C" w:rsidRDefault="0017297C" w:rsidP="00502006">
      <w:pPr>
        <w:rPr>
          <w:rFonts w:ascii="Arial Narrow" w:hAnsi="Arial Narrow" w:cs="Tahoma"/>
          <w:sz w:val="16"/>
          <w:szCs w:val="16"/>
          <w:lang w:val="sr-Cyrl-BA"/>
        </w:rPr>
      </w:pPr>
    </w:p>
    <w:p w:rsidR="0017297C" w:rsidRPr="00013CF4" w:rsidRDefault="0017297C" w:rsidP="00502006">
      <w:pPr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13CF4" w:rsidRDefault="0053312E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A66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6FFB4" wp14:editId="2DBC8943">
                <wp:simplePos x="0" y="0"/>
                <wp:positionH relativeFrom="margin">
                  <wp:posOffset>3560963</wp:posOffset>
                </wp:positionH>
                <wp:positionV relativeFrom="paragraph">
                  <wp:posOffset>2775332</wp:posOffset>
                </wp:positionV>
                <wp:extent cx="914400" cy="129026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12E" w:rsidRDefault="0053312E" w:rsidP="0053312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6FFB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0.4pt;margin-top:218.55pt;width:1in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D3SAIAAJAEAAAOAAAAZHJzL2Uyb0RvYy54bWysVF1v2jAUfZ+0/2D5fSSwDq2IUDEqpkmo&#10;rdROfTaOA5EcX882JOzX79ghtOv2NI0Hc30/fc89N/ObrtHsqJyvyRR8PMo5U0ZSWZtdwb8/rT98&#10;5swHYUqhyaiCn5TnN4v37+atnakJ7UmXyjEkMX7W2oLvQ7CzLPNyrxrhR2SVgbEi14iAq9tlpRMt&#10;sjc6m+T5NGvJldaRVN5De9sb+SLlryolw31VeRWYLjjeFtLp0rmNZ7aYi9nOCbuv5fkZ4h9e0Yja&#10;oOgl1a0Igh1c/UeqppaOPFVhJKnJqKpqqVIP6Gacv+nmcS+sSr0AHG8vMPn/l1beHR8cq8uCTzAp&#10;IxrM6El1gX2hjkEFfFrrZ3B7tHAMHfSY86D3UMa2u8o18R8NMdiB9OmCbswmobweX13lsEiYxpPr&#10;fDKNWbKXYOt8+KqoYVEouMPwEqbiuPGhdx1cYi1Pui7XtdbpcvIr7dhRYM6gR0ktZ1r4AGXB1+l3&#10;rvZbmDasLfj046c8VTIU8/WltIl5VeLQuX5Eou84SqHbdgm5C0pbKk8AyVFPM2/lukYrG7zjQTjw&#10;Ct1jV8I9jkoTKtNZ4mxP7uff9NEf44aVsxY8Lbj/cRBOob1vBkSIpB4ENwjbQTCHZkWAZIwttDKJ&#10;CHBBD2LlqHnGCi1jFZiEkahV8DCIq9BvC1ZQquUyOYG6VoSNebQypo44xcE8dc/C2fP0AsZ+RwOD&#10;xezNEHvfGGloeQhU1WnCEdceRTAjXkD7xJHzisa9en1PXi8fksUvAAAA//8DAFBLAwQUAAYACAAA&#10;ACEAkwLfx+AAAAALAQAADwAAAGRycy9kb3ducmV2LnhtbEyPPU/DMBCGdyT+g3VIbNQOTRoU4lSA&#10;QAyoQ0sZ2Nz48iHicxS7bfj3HBOM74fee65cz24QJ5xC70lDslAgkGpve2o17N9fbu5AhGjImsET&#10;avjGAOvq8qI0hfVn2uJpF1vBIxQKo6GLcSykDHWHzoSFH5E4a/zkTGQ5tdJO5szjbpC3Sq2kMz3x&#10;hc6M+NRh/bU7Og0fKnt7bpbtZnzd277ZPsbPJLFaX1/ND/cgIs7xrwy/+IwOFTMd/JFsEIOGbKUY&#10;PWpIl3kCghu5Stk5sJPlKciqlP9/qH4AAAD//wMAUEsBAi0AFAAGAAgAAAAhALaDOJL+AAAA4QEA&#10;ABMAAAAAAAAAAAAAAAAAAAAAAFtDb250ZW50X1R5cGVzXS54bWxQSwECLQAUAAYACAAAACEAOP0h&#10;/9YAAACUAQAACwAAAAAAAAAAAAAAAAAvAQAAX3JlbHMvLnJlbHNQSwECLQAUAAYACAAAACEAvG9g&#10;90gCAACQBAAADgAAAAAAAAAAAAAAAAAuAgAAZHJzL2Uyb0RvYy54bWxQSwECLQAUAAYACAAAACEA&#10;kwLfx+AAAAALAQAADwAAAAAAAAAAAAAAAACiBAAAZHJzL2Rvd25yZXYueG1sUEsFBgAAAAAEAAQA&#10;8wAAAK8FAAAAAA==&#10;" fillcolor="window" stroked="f" strokeweight=".5pt">
                <v:textbox inset="0,0,0,0">
                  <w:txbxContent>
                    <w:p w:rsidR="0053312E" w:rsidRDefault="0053312E" w:rsidP="0053312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6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D63A1" wp14:editId="53E3E5A3">
                <wp:simplePos x="0" y="0"/>
                <wp:positionH relativeFrom="margin">
                  <wp:posOffset>2281025</wp:posOffset>
                </wp:positionH>
                <wp:positionV relativeFrom="paragraph">
                  <wp:posOffset>2775589</wp:posOffset>
                </wp:positionV>
                <wp:extent cx="1071475" cy="151465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475" cy="15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12E" w:rsidRDefault="0053312E" w:rsidP="0053312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63A1" id="Text Box 27" o:spid="_x0000_s1027" type="#_x0000_t202" style="position:absolute;left:0;text-align:left;margin-left:179.6pt;margin-top:218.55pt;width:84.35pt;height: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HeSgIAAJEEAAAOAAAAZHJzL2Uyb0RvYy54bWysVF1v0zAUfUfiP1h+Z2nLuqGq6VQ6FSFN&#10;26QN7dl1nCaS42tst0n59Rw7SQeDJ0Qf3Ov76XvuuVnedI1mR+V8TSbn04sJZ8pIKmqzz/m35+2H&#10;T5z5IEwhNBmV85Py/Gb1/t2ytQs1o4p0oRxDEuMXrc15FYJdZJmXlWqEvyCrDIwluUYEXN0+K5xo&#10;kb3R2WwyucpacoV1JJX30N72Rr5K+ctSyfBQll4FpnOOt4V0unTu4pmtlmKxd8JWtRyeIf7hFY2o&#10;DYqeU92KINjB1X+kamrpyFMZLiQ1GZVlLVXqAd1MJ2+6eaqEVakXgOPtGSb//9LK++OjY3WR89k1&#10;Z0Y0mNGz6gL7TB2DCvi01i/g9mThGDroMedR76GMbXela+I/GmKwA+nTGd2YTcagyfX08nrOmYRt&#10;Op9eXs1jmuw12jofvihqWBRy7jC9BKo43vnQu44usZgnXRfbWut0OfmNduwoMGjwo6CWMy18gDLn&#10;2/Qbqv0Wpg1rc371cT5JlQzFfH0pbWJelUg01I9Q9C1HKXS7LkF3hmlHxQkoOep55q3c1mjlDu94&#10;FA7EAjBYlvCAo9SEyjRInFXkfvxNH/0xb1g5a0HUnPvvB+EU2vtqwITI6lFwo7AbBXNoNgRIplhD&#10;K5OIABf0KJaOmhfs0DpWgUkYiVo5D6O4Cf26YAelWq+TE7hrRbgzT1bG1BGnOJjn7kU4O0wvYO73&#10;NFJYLN4MsfeNkYbWh0BlnSYcce1RBDPiBbxPHBl2NC7Wr/fk9folWf0EAAD//wMAUEsDBBQABgAI&#10;AAAAIQD78bfg4gAAAAsBAAAPAAAAZHJzL2Rvd25yZXYueG1sTI/LTsMwEEX3SPyDNUjsqO2E9BHi&#10;VIBALCoWLe2CnRs7DxGPo9htw98zrGA5M0d3zi3Wk+vZ2Y6h86hAzgQwi5U3HTYK9h+vd0tgIWo0&#10;uvdoFXzbAOvy+qrQufEX3NrzLjaMQjDkWkEb45BzHqrWOh1mfrBIt9qPTkcax4abUV8o3PU8EWLO&#10;ne6QPrR6sM+trb52J6fgILLNS50278Pb3nT19il+SmmUur2ZHh+ARTvFPxh+9UkdSnI6+hOawHoF&#10;abZKCFVwny4kMCKyZLECdqTNXArgZcH/dyh/AAAA//8DAFBLAQItABQABgAIAAAAIQC2gziS/gAA&#10;AOEBAAATAAAAAAAAAAAAAAAAAAAAAABbQ29udGVudF9UeXBlc10ueG1sUEsBAi0AFAAGAAgAAAAh&#10;ADj9If/WAAAAlAEAAAsAAAAAAAAAAAAAAAAALwEAAF9yZWxzLy5yZWxzUEsBAi0AFAAGAAgAAAAh&#10;AIFmMd5KAgAAkQQAAA4AAAAAAAAAAAAAAAAALgIAAGRycy9lMm9Eb2MueG1sUEsBAi0AFAAGAAgA&#10;AAAhAPvxt+DiAAAACwEAAA8AAAAAAAAAAAAAAAAApAQAAGRycy9kb3ducmV2LnhtbFBLBQYAAAAA&#10;BAAEAPMAAACzBQAAAAA=&#10;" fillcolor="window" stroked="f" strokeweight=".5pt">
                <v:textbox inset="0,0,0,0">
                  <w:txbxContent>
                    <w:p w:rsidR="0053312E" w:rsidRDefault="0053312E" w:rsidP="0053312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3CF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D3E20" wp14:editId="07651836">
                <wp:simplePos x="0" y="0"/>
                <wp:positionH relativeFrom="column">
                  <wp:posOffset>3560550</wp:posOffset>
                </wp:positionH>
                <wp:positionV relativeFrom="paragraph">
                  <wp:posOffset>2776220</wp:posOffset>
                </wp:positionV>
                <wp:extent cx="891961" cy="179514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61" cy="17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312E" w:rsidRPr="0053312E" w:rsidRDefault="0053312E" w:rsidP="0053312E">
                            <w:pPr>
                              <w:rPr>
                                <w:rFonts w:ascii="Arial Narrow" w:hAnsi="Arial Narrow"/>
                                <w:sz w:val="16"/>
                                <w:lang w:val="sr-Latn-R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Latn-RS"/>
                              </w:rPr>
                              <w:t>Annual</w:t>
                            </w:r>
                            <w:r w:rsidRPr="0053312E">
                              <w:rPr>
                                <w:rFonts w:ascii="Arial Narrow" w:hAnsi="Arial Narrow"/>
                                <w:sz w:val="16"/>
                                <w:lang w:val="sr-Latn-RS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3E20" id="Text Box 17" o:spid="_x0000_s1028" type="#_x0000_t202" style="position:absolute;left:0;text-align:left;margin-left:280.35pt;margin-top:218.6pt;width:70.2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R0OwIAAHEEAAAOAAAAZHJzL2Uyb0RvYy54bWysVMFuGjEQvVfqP1i+l4W0IQGxRJSIqlKU&#10;RIIqZ+P1wkpej2sbdunX99nLkjbtqerFzM6Mn+e9mWF219aaHZXzFZmcjwZDzpSRVFRml/Nvm9WH&#10;W858EKYQmozK+Ul5fjd//27W2Km6oj3pQjkGEOOnjc35PgQ7zTIv96oWfkBWGQRLcrUI+HS7rHCi&#10;AXqts6vhcJw15ArrSCrv4b3vgnye8MtSyfBUll4FpnOO2kI6XTq38czmMzHdOWH3lTyXIf6hilpU&#10;Bo9eoO5FEOzgqj+g6ko68lSGgaQ6o7KspEocwGY0fMNmvRdWJS4Qx9uLTP7/wcrH47NjVYHe3XBm&#10;RI0ebVQb2GdqGVzQp7F+irS1RWJo4Udu7/dwRtpt6er4C0IMcSh9uqgb0SSct5PRZDziTCI0uplc&#10;jz5FlOz1snU+fFFUs2jk3KF5SVNxfPChS+1T4luedFWsKq3TRxwYtdSOHQVarUMqEeC/ZWnDmpyP&#10;P14PE7CheL1D1ga1RKodpWiFdtsmacY93S0VJ6jgqJsjb+WqQq0Pwodn4TA4II5lCE84Sk14i84W&#10;Z3tyP/7mj/noJ6KcNRjEnPvvB+EUZ/qrQafj1PaG641tb5hDvSQQhq6oJpm44ILuzdJR/YIdWcRX&#10;EBJG4q2ch95chm4dsGNSLRYpCbNpRXgwaysjdBQ4Kr9pX4Sz5/YE9PWR+hEV0zdd6nLjTUOLQ6Cy&#10;Si2MunYqnuXGXKchOO9gXJxfv1PW6z/F/CcAAAD//wMAUEsDBBQABgAIAAAAIQA26r1u4gAAAAsB&#10;AAAPAAAAZHJzL2Rvd25yZXYueG1sTI/LTsMwEEX3SPyDNUhsELVbmqQKcSpAYoFEhSioazc2cag9&#10;DrHbpnw9wwp28zi6c6Zajt6xgxliF1DCdCKAGWyC7rCV8P72eL0AFpNCrVxAI+FkIizr87NKlToc&#10;8dUc1qllFIKxVBJsSn3JeWys8SpOQm+Qdh9h8CpRO7RcD+pI4d7xmRA596pDumBVbx6saXbrvZew&#10;OM1XV5u82Hy6l6d7+91+4fNOSXl5Md7dAktmTH8w/OqTOtTktA171JE5CVkuCkIlzG+KGTAiCjGl&#10;YkuTPMuA1xX//0P9AwAA//8DAFBLAQItABQABgAIAAAAIQC2gziS/gAAAOEBAAATAAAAAAAAAAAA&#10;AAAAAAAAAABbQ29udGVudF9UeXBlc10ueG1sUEsBAi0AFAAGAAgAAAAhADj9If/WAAAAlAEAAAsA&#10;AAAAAAAAAAAAAAAALwEAAF9yZWxzLy5yZWxzUEsBAi0AFAAGAAgAAAAhAPR/FHQ7AgAAcQQAAA4A&#10;AAAAAAAAAAAAAAAALgIAAGRycy9lMm9Eb2MueG1sUEsBAi0AFAAGAAgAAAAhADbqvW7iAAAACwEA&#10;AA8AAAAAAAAAAAAAAAAAlQQAAGRycy9kb3ducmV2LnhtbFBLBQYAAAAABAAEAPMAAACkBQAAAAA=&#10;" fillcolor="white [3201]" stroked="f" strokeweight=".5pt">
                <v:textbox inset="0,0,0,0">
                  <w:txbxContent>
                    <w:p w:rsidR="0053312E" w:rsidRPr="0053312E" w:rsidRDefault="0053312E" w:rsidP="0053312E">
                      <w:pPr>
                        <w:rPr>
                          <w:rFonts w:ascii="Arial Narrow" w:hAnsi="Arial Narrow"/>
                          <w:sz w:val="16"/>
                          <w:lang w:val="sr-Latn-RS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Latn-RS"/>
                        </w:rPr>
                        <w:t>Annual</w:t>
                      </w:r>
                      <w:r w:rsidRPr="0053312E">
                        <w:rPr>
                          <w:rFonts w:ascii="Arial Narrow" w:hAnsi="Arial Narrow"/>
                          <w:sz w:val="16"/>
                          <w:lang w:val="sr-Latn-RS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013CF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2306850</wp:posOffset>
                </wp:positionH>
                <wp:positionV relativeFrom="paragraph">
                  <wp:posOffset>2774950</wp:posOffset>
                </wp:positionV>
                <wp:extent cx="891961" cy="179514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61" cy="17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Pr="0053312E" w:rsidRDefault="0053312E">
                            <w:pPr>
                              <w:rPr>
                                <w:rFonts w:ascii="Arial Narrow" w:hAnsi="Arial Narrow"/>
                                <w:sz w:val="16"/>
                                <w:lang w:val="sr-Latn-RS"/>
                              </w:rPr>
                            </w:pPr>
                            <w:r w:rsidRPr="0053312E">
                              <w:rPr>
                                <w:rFonts w:ascii="Arial Narrow" w:hAnsi="Arial Narrow"/>
                                <w:sz w:val="16"/>
                                <w:lang w:val="sr-Latn-RS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81.65pt;margin-top:218.5pt;width:70.2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zDOgIAAG8EAAAOAAAAZHJzL2Uyb0RvYy54bWysVMFu2zAMvQ/YPwi6L467NmuCOEWWIsOA&#10;oi2QDD0rshQLkERNUmJnXz9KjtOt22nYRaZI6pF8JD2/64wmR+GDAlvRcjSmRFgOtbL7in7brj/c&#10;UhIiszXTYEVFTyLQu8X7d/PWzcQVNKBr4QmC2DBrXUWbGN2sKAJvhGFhBE5YNErwhkW8+n1Re9Yi&#10;utHF1Xg8KVrwtfPARQiove+NdJHxpRQ8PkkZRCS6ophbzKfP5y6dxWLOZnvPXKP4OQ32D1kYpiwG&#10;vUDds8jIwas/oIziHgLIOOJgCpBScZFrwGrK8ZtqNg1zIteC5AR3oSn8P1j+eHz2RNUVvabEMoMt&#10;2oouks/QkevETuvCDJ02Dt1ih2rs8qAPqExFd9Kb9MVyCNqR59OF2wTGUXk7LaeTkhKOpvLT9KbM&#10;6MXrY+dD/CLAkCRU1GPrMqPs+BAiJoKug0uKFUCreq20zpc0LmKlPTkybLSOOUV88ZuXtqSt6OTj&#10;zTgDW0jPe2RtMUAqtS8pSbHbdZmYS7k7qE/Igod+ioLja4W5PrAQn5nHscHCcRXiEx5SA8aCs0RJ&#10;A/7H3/TJH7uJVkpaHMOKhu8H5gUl+qvFPqeZHQQ/CLtBsAezAiwYecVssogPfNSDKD2YF9yQZYqC&#10;JmY5xqpoHMRV7JcBN4yL5TI74WQ6Fh/sxvEEnQhOzG+7F+bduT0R+/oIw4Cy2Zsu9b7ppYXlIYJU&#10;uYWJ157FM9041bmz5w1Ma/PrPXu9/icWPwEAAP//AwBQSwMEFAAGAAgAAAAhACgjGvbiAAAACwEA&#10;AA8AAABkcnMvZG93bnJldi54bWxMj8FOwzAMhu9IvENkJC6IpZCtm0rTCZA4IIEQA+2cNaYtS5zS&#10;ZFvH02NOcLT96ff3l8vRO7HHIXaBNFxNMhBIdbAdNRre3x4uFyBiMmSNC4QajhhhWZ2elKaw4UCv&#10;uF+lRnAIxcJoaFPqCylj3aI3cRJ6JL59hMGbxOPQSDuYA4d7J6+zLJfedMQfWtPjfYv1drXzGhbH&#10;6fPFOp+vP93L41373XzR09ZofX423t6ASDimPxh+9VkdKnbahB3ZKJwGlSvFqIapmnMpJmaZ4jIb&#10;3uQzBbIq5f8O1Q8AAAD//wMAUEsBAi0AFAAGAAgAAAAhALaDOJL+AAAA4QEAABMAAAAAAAAAAAAA&#10;AAAAAAAAAFtDb250ZW50X1R5cGVzXS54bWxQSwECLQAUAAYACAAAACEAOP0h/9YAAACUAQAACwAA&#10;AAAAAAAAAAAAAAAvAQAAX3JlbHMvLnJlbHNQSwECLQAUAAYACAAAACEAAVIcwzoCAABvBAAADgAA&#10;AAAAAAAAAAAAAAAuAgAAZHJzL2Uyb0RvYy54bWxQSwECLQAUAAYACAAAACEAKCMa9uIAAAALAQAA&#10;DwAAAAAAAAAAAAAAAACUBAAAZHJzL2Rvd25yZXYueG1sUEsFBgAAAAAEAAQA8wAAAKMFAAAAAA==&#10;" fillcolor="white [3201]" stroked="f" strokeweight=".5pt">
                <v:textbox inset="0,0,0,0">
                  <w:txbxContent>
                    <w:p w:rsidR="00D504B7" w:rsidRPr="0053312E" w:rsidRDefault="0053312E">
                      <w:pPr>
                        <w:rPr>
                          <w:rFonts w:ascii="Arial Narrow" w:hAnsi="Arial Narrow"/>
                          <w:sz w:val="16"/>
                          <w:lang w:val="sr-Latn-RS"/>
                        </w:rPr>
                      </w:pPr>
                      <w:r w:rsidRPr="0053312E">
                        <w:rPr>
                          <w:rFonts w:ascii="Arial Narrow" w:hAnsi="Arial Narrow"/>
                          <w:sz w:val="16"/>
                          <w:lang w:val="sr-Latn-RS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17297C" w:rsidRPr="00013C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6A49A" wp14:editId="72958C0C">
                <wp:simplePos x="0" y="0"/>
                <wp:positionH relativeFrom="column">
                  <wp:posOffset>2279015</wp:posOffset>
                </wp:positionH>
                <wp:positionV relativeFrom="paragraph">
                  <wp:posOffset>2928146</wp:posOffset>
                </wp:positionV>
                <wp:extent cx="2251880" cy="19731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97C" w:rsidRDefault="0017297C" w:rsidP="00172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A49A" id="Text Box 13" o:spid="_x0000_s1030" type="#_x0000_t202" style="position:absolute;left:0;text-align:left;margin-left:179.45pt;margin-top:230.55pt;width:177.3pt;height:15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6yQgIAAHsEAAAOAAAAZHJzL2Uyb0RvYy54bWysVMFuGjEQvVfqP1i+N8sCSQhiiShRqkpR&#10;EolUORuvF1byelzbsJt+fZ+9kJC0p6oXM555+zwzb4bZdddotlfO12QKnp8NOFNGUlmbTcF/PN1+&#10;mXDmgzCl0GRUwV+U59fzz59mrZ2qIW1Jl8oxkBg/bW3BtyHYaZZ5uVWN8GdklUGwIteIgKvbZKUT&#10;LdgbnQ0Hg4usJVdaR1J5D+9NH+TzxF9VSoaHqvIqMF1w5BbS6dK5jmc2n4npxgm7reUhDfEPWTSi&#10;Nnj0lepGBMF2rv6DqqmlI09VOJPUZFRVtVSpBlSTDz5Us9oKq1ItaI63r23y/49W3u8fHatLaDfi&#10;zIgGGj2pLrCv1DG40J/W+ilgKwtg6OAH9uj3cMayu8o18RcFMcTR6ZfX7kY2CedweJ5PJghJxPKr&#10;y1E+jjTZ29fW+fBNUcOiUXAH9VJTxf7Ohx56hMTHPOm6vK21Tpc4MWqpHdsLaK1DyhHk71DasLbg&#10;F6PzQSI2FD/vmbVBLrHWvqZohW7dHRqwpvIF9TvqJ8hbeVsjyTvhw6NwGBnUhTUIDzgqTXiEDhZn&#10;W3K//uaPeCiJKGctRrDg/udOOMWZ/m6g8VU+HseZTZfx+eUQF3caWZ9GzK5ZEirPsXBWJjPigz6a&#10;laPmGduyiK8iJIzE2wUPR3MZ+sXAtkm1WCQQptSKcGdWVkbq2OkowVP3LJw96BSg8D0dh1VMP8jV&#10;Y+OXhha7QFWdtIwN7rt66DsmPE3DYRvjCp3eE+rtP2P+GwAA//8DAFBLAwQUAAYACAAAACEA3tfE&#10;pOIAAAALAQAADwAAAGRycy9kb3ducmV2LnhtbEyPy07EMAxF90j8Q2QkNohJH3QepekIIR4SO6Y8&#10;xC7TmLaicaom0yl/j1nB0vbR9bnFdra9mHD0nSMF8SICgVQ701Gj4KW6v1yD8EGT0b0jVPCNHrbl&#10;6Umhc+OO9IzTLjSCQ8jnWkEbwpBL6esWrfYLNyDx7dONVgcex0aaUR853PYyiaKltLoj/tDqAW9b&#10;rL92B6vg46J5f/Lzw+sxzdLh7nGqVm+mUur8bL65BhFwDn8w/OqzOpTstHcHMl70CtJsvWFUwdUy&#10;jkEwsYrTDMSeN5skAVkW8n+H8gcAAP//AwBQSwECLQAUAAYACAAAACEAtoM4kv4AAADhAQAAEwAA&#10;AAAAAAAAAAAAAAAAAAAAW0NvbnRlbnRfVHlwZXNdLnhtbFBLAQItABQABgAIAAAAIQA4/SH/1gAA&#10;AJQBAAALAAAAAAAAAAAAAAAAAC8BAABfcmVscy8ucmVsc1BLAQItABQABgAIAAAAIQCyxV6yQgIA&#10;AHsEAAAOAAAAAAAAAAAAAAAAAC4CAABkcnMvZTJvRG9jLnhtbFBLAQItABQABgAIAAAAIQDe18Sk&#10;4gAAAAsBAAAPAAAAAAAAAAAAAAAAAJwEAABkcnMvZG93bnJldi54bWxQSwUGAAAAAAQABADzAAAA&#10;qwUAAAAA&#10;" fillcolor="white [3201]" stroked="f" strokeweight=".5pt">
                <v:textbox>
                  <w:txbxContent>
                    <w:p w:rsidR="0017297C" w:rsidRDefault="0017297C" w:rsidP="0017297C"/>
                  </w:txbxContent>
                </v:textbox>
              </v:shape>
            </w:pict>
          </mc:Fallback>
        </mc:AlternateContent>
      </w:r>
      <w:r w:rsidR="00502006" w:rsidRPr="00013CF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013CF4" w:rsidRDefault="000C14D3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</w:rPr>
        <w:t>Graph</w:t>
      </w:r>
      <w:r>
        <w:rPr>
          <w:rFonts w:ascii="Arial Narrow" w:hAnsi="Arial Narrow" w:cs="Tahoma"/>
          <w:sz w:val="16"/>
          <w:szCs w:val="16"/>
          <w:lang w:val="sr-Cyrl-BA"/>
        </w:rPr>
        <w:t xml:space="preserve"> 2.</w:t>
      </w:r>
      <w:r w:rsidR="00502006" w:rsidRPr="00013CF4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Pr="000C14D3">
        <w:rPr>
          <w:rFonts w:ascii="Arial Narrow" w:hAnsi="Arial Narrow" w:cs="Tahoma"/>
          <w:sz w:val="16"/>
          <w:szCs w:val="16"/>
          <w:lang w:val="sr-Cyrl-BA"/>
        </w:rPr>
        <w:t>Monthly</w:t>
      </w:r>
      <w:r>
        <w:rPr>
          <w:rFonts w:ascii="Arial Narrow" w:hAnsi="Arial Narrow" w:cs="Tahoma"/>
          <w:sz w:val="16"/>
          <w:szCs w:val="16"/>
        </w:rPr>
        <w:t xml:space="preserve"> and annual</w:t>
      </w:r>
      <w:r w:rsidRPr="000C14D3">
        <w:rPr>
          <w:rFonts w:ascii="Arial Narrow" w:hAnsi="Arial Narrow" w:cs="Tahoma"/>
          <w:sz w:val="16"/>
          <w:szCs w:val="16"/>
          <w:lang w:val="sr-Cyrl-BA"/>
        </w:rPr>
        <w:t xml:space="preserve"> inflation</w:t>
      </w:r>
      <w:bookmarkStart w:id="0" w:name="_GoBack"/>
      <w:bookmarkEnd w:id="0"/>
    </w:p>
    <w:p w:rsidR="00BC2444" w:rsidRPr="0053312E" w:rsidRDefault="00BC2444" w:rsidP="00502006">
      <w:pPr>
        <w:rPr>
          <w:sz w:val="16"/>
          <w:szCs w:val="16"/>
          <w:lang w:val="sr-Cyrl-RS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D3414D" w:rsidRDefault="00D3414D" w:rsidP="00502006">
      <w:pPr>
        <w:rPr>
          <w:sz w:val="16"/>
          <w:szCs w:val="16"/>
        </w:rPr>
      </w:pPr>
    </w:p>
    <w:p w:rsidR="0017297C" w:rsidRDefault="0017297C" w:rsidP="00502006">
      <w:pPr>
        <w:rPr>
          <w:sz w:val="16"/>
          <w:szCs w:val="16"/>
        </w:rPr>
      </w:pPr>
    </w:p>
    <w:p w:rsidR="0017297C" w:rsidRDefault="0017297C" w:rsidP="00502006">
      <w:pPr>
        <w:rPr>
          <w:sz w:val="16"/>
          <w:szCs w:val="16"/>
        </w:rPr>
      </w:pPr>
    </w:p>
    <w:p w:rsidR="0017297C" w:rsidRDefault="0017297C" w:rsidP="00502006">
      <w:pPr>
        <w:rPr>
          <w:sz w:val="16"/>
          <w:szCs w:val="16"/>
        </w:rPr>
      </w:pPr>
    </w:p>
    <w:p w:rsidR="0017297C" w:rsidRDefault="0017297C" w:rsidP="00502006">
      <w:pPr>
        <w:rPr>
          <w:sz w:val="16"/>
          <w:szCs w:val="16"/>
        </w:rPr>
      </w:pPr>
    </w:p>
    <w:p w:rsidR="0017297C" w:rsidRDefault="0017297C" w:rsidP="00502006">
      <w:pPr>
        <w:rPr>
          <w:sz w:val="16"/>
          <w:szCs w:val="16"/>
        </w:rPr>
      </w:pPr>
    </w:p>
    <w:p w:rsidR="0017297C" w:rsidRPr="00013CF4" w:rsidRDefault="0017297C" w:rsidP="00502006">
      <w:pPr>
        <w:rPr>
          <w:sz w:val="16"/>
          <w:szCs w:val="16"/>
        </w:rPr>
      </w:pPr>
    </w:p>
    <w:p w:rsidR="00CF0002" w:rsidRPr="00013CF4" w:rsidRDefault="000E5114" w:rsidP="00CF0002">
      <w:pPr>
        <w:rPr>
          <w:sz w:val="16"/>
          <w:szCs w:val="16"/>
        </w:rPr>
      </w:pPr>
      <w:r w:rsidRPr="00390647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CF0002" w:rsidRPr="00013CF4">
        <w:rPr>
          <w:rFonts w:ascii="Arial Narrow" w:hAnsi="Arial Narrow" w:cs="Tahoma"/>
          <w:b/>
          <w:sz w:val="28"/>
          <w:szCs w:val="30"/>
          <w:lang w:val="sr-Cyrl-CS"/>
        </w:rPr>
        <w:t>(</w:t>
      </w:r>
      <w:r>
        <w:rPr>
          <w:rFonts w:ascii="Arial Narrow" w:hAnsi="Arial Narrow" w:cs="Tahoma"/>
          <w:b/>
          <w:sz w:val="28"/>
          <w:szCs w:val="30"/>
          <w:lang w:val="sr-Latn-BA"/>
        </w:rPr>
        <w:t>October</w:t>
      </w:r>
      <w:r w:rsidR="00CF0002" w:rsidRPr="00013CF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CF0002" w:rsidRPr="00013CF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CF0002" w:rsidRPr="00013CF4">
        <w:rPr>
          <w:rFonts w:ascii="Arial Narrow" w:hAnsi="Arial Narrow" w:cs="Tahoma"/>
          <w:b/>
          <w:sz w:val="28"/>
          <w:szCs w:val="30"/>
        </w:rPr>
        <w:t>24</w:t>
      </w:r>
      <w:r>
        <w:rPr>
          <w:rFonts w:ascii="Arial Narrow" w:hAnsi="Arial Narrow" w:cs="Tahoma"/>
          <w:b/>
          <w:sz w:val="28"/>
          <w:szCs w:val="30"/>
          <w:lang w:val="sr-Latn-BA"/>
        </w:rPr>
        <w:t>/October</w:t>
      </w:r>
      <w:r w:rsidR="00CF0002" w:rsidRPr="00013CF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CF0002" w:rsidRPr="00013CF4">
        <w:rPr>
          <w:rFonts w:ascii="Arial Narrow" w:hAnsi="Arial Narrow" w:cs="Tahoma"/>
          <w:b/>
          <w:bCs/>
          <w:sz w:val="28"/>
          <w:szCs w:val="30"/>
        </w:rPr>
        <w:t>2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>3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bCs/>
          <w:sz w:val="28"/>
          <w:szCs w:val="30"/>
        </w:rPr>
        <w:t xml:space="preserve">increased by 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="00CF0002" w:rsidRPr="00013CF4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597FD3" w:rsidRPr="00013CF4" w:rsidRDefault="000E5114" w:rsidP="00502006">
      <w:pPr>
        <w:rPr>
          <w:sz w:val="16"/>
          <w:szCs w:val="16"/>
        </w:rPr>
      </w:pPr>
      <w:r w:rsidRPr="000E511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Seasonally adjusted industrial production </w:t>
      </w:r>
      <w:r w:rsidR="00021D55" w:rsidRPr="00013CF4">
        <w:rPr>
          <w:rFonts w:ascii="Arial Narrow" w:hAnsi="Arial Narrow" w:cs="Tahoma"/>
          <w:b/>
          <w:sz w:val="28"/>
          <w:szCs w:val="30"/>
          <w:lang w:val="sr-Cyrl-CS"/>
        </w:rPr>
        <w:t>(</w:t>
      </w:r>
      <w:r>
        <w:rPr>
          <w:rFonts w:ascii="Arial Narrow" w:hAnsi="Arial Narrow" w:cs="Tahoma"/>
          <w:b/>
          <w:sz w:val="28"/>
          <w:szCs w:val="30"/>
          <w:lang w:val="sr-Latn-BA"/>
        </w:rPr>
        <w:t>October</w:t>
      </w:r>
      <w:r w:rsidR="00021D55" w:rsidRPr="00013CF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021D55" w:rsidRPr="00013CF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021D55" w:rsidRPr="00013CF4">
        <w:rPr>
          <w:rFonts w:ascii="Arial Narrow" w:hAnsi="Arial Narrow" w:cs="Tahoma"/>
          <w:b/>
          <w:sz w:val="28"/>
          <w:szCs w:val="30"/>
        </w:rPr>
        <w:t>24</w:t>
      </w:r>
      <w:r w:rsidR="00EE284A" w:rsidRPr="00013CF4">
        <w:rPr>
          <w:rFonts w:ascii="Arial Narrow" w:hAnsi="Arial Narrow" w:cs="Tahoma"/>
          <w:b/>
          <w:sz w:val="28"/>
          <w:szCs w:val="30"/>
          <w:lang w:val="sr-Latn-BA"/>
        </w:rPr>
        <w:t>/</w:t>
      </w:r>
      <w:r>
        <w:rPr>
          <w:rFonts w:ascii="Arial Narrow" w:hAnsi="Arial Narrow" w:cs="Tahoma"/>
          <w:b/>
          <w:sz w:val="28"/>
          <w:szCs w:val="30"/>
          <w:lang w:val="sr-Latn-BA"/>
        </w:rPr>
        <w:t>November</w:t>
      </w:r>
      <w:r w:rsidR="00021D55" w:rsidRPr="00013CF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021D55" w:rsidRPr="00013CF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021D55" w:rsidRPr="00013CF4">
        <w:rPr>
          <w:rFonts w:ascii="Arial Narrow" w:hAnsi="Arial Narrow" w:cs="Tahoma"/>
          <w:b/>
          <w:bCs/>
          <w:sz w:val="28"/>
          <w:szCs w:val="30"/>
        </w:rPr>
        <w:t>2</w:t>
      </w:r>
      <w:r w:rsidR="00021D55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="00021D55" w:rsidRPr="00013CF4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021D55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021D55" w:rsidRPr="00013CF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28"/>
          <w:szCs w:val="30"/>
          <w:lang w:val="sr-Latn-BA"/>
        </w:rPr>
        <w:t>2.</w:t>
      </w:r>
      <w:r w:rsidR="00EE284A" w:rsidRPr="00013CF4">
        <w:rPr>
          <w:rFonts w:ascii="Arial Narrow" w:hAnsi="Arial Narrow" w:cs="Tahoma"/>
          <w:b/>
          <w:bCs/>
          <w:sz w:val="28"/>
          <w:szCs w:val="30"/>
          <w:lang w:val="sr-Latn-BA"/>
        </w:rPr>
        <w:t>9</w:t>
      </w:r>
      <w:r w:rsidR="00021D55" w:rsidRPr="00013CF4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C4650D" w:rsidRPr="00390647" w:rsidRDefault="000011E1" w:rsidP="00C4650D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Working-day </w:t>
      </w:r>
      <w:r w:rsidRPr="00390647">
        <w:rPr>
          <w:rFonts w:ascii="Arial Narrow" w:hAnsi="Arial Narrow" w:cs="Tahoma"/>
          <w:sz w:val="22"/>
        </w:rPr>
        <w:t>adjusted industrial production in</w:t>
      </w:r>
      <w:r w:rsidR="00C4650D">
        <w:rPr>
          <w:rFonts w:ascii="Arial Narrow" w:hAnsi="Arial Narrow" w:cs="Tahoma"/>
          <w:sz w:val="22"/>
        </w:rPr>
        <w:t xml:space="preserve"> October 2024, compared to October 2023, increased by 4.2%. </w:t>
      </w:r>
      <w:r w:rsidR="00C4650D" w:rsidRPr="00390647">
        <w:rPr>
          <w:rFonts w:ascii="Arial Narrow" w:hAnsi="Arial Narrow" w:cs="Tahoma"/>
          <w:sz w:val="22"/>
        </w:rPr>
        <w:t xml:space="preserve">Seasonally adjusted industrial production in </w:t>
      </w:r>
      <w:proofErr w:type="spellStart"/>
      <w:r w:rsidR="00C4650D" w:rsidRPr="00390647">
        <w:rPr>
          <w:rFonts w:ascii="Arial Narrow" w:hAnsi="Arial Narrow" w:cs="Tahoma"/>
          <w:sz w:val="22"/>
        </w:rPr>
        <w:t>Republika</w:t>
      </w:r>
      <w:proofErr w:type="spellEnd"/>
      <w:r w:rsidR="00C4650D" w:rsidRPr="00390647">
        <w:rPr>
          <w:rFonts w:ascii="Arial Narrow" w:hAnsi="Arial Narrow" w:cs="Tahoma"/>
          <w:sz w:val="22"/>
        </w:rPr>
        <w:t xml:space="preserve"> </w:t>
      </w:r>
      <w:proofErr w:type="spellStart"/>
      <w:r w:rsidR="00C4650D" w:rsidRPr="00390647">
        <w:rPr>
          <w:rFonts w:ascii="Arial Narrow" w:hAnsi="Arial Narrow" w:cs="Tahoma"/>
          <w:sz w:val="22"/>
        </w:rPr>
        <w:t>Srpska</w:t>
      </w:r>
      <w:proofErr w:type="spellEnd"/>
      <w:r w:rsidR="00C4650D" w:rsidRPr="00390647">
        <w:rPr>
          <w:rFonts w:ascii="Arial Narrow" w:hAnsi="Arial Narrow" w:cs="Tahoma"/>
          <w:sz w:val="22"/>
        </w:rPr>
        <w:t xml:space="preserve"> in </w:t>
      </w:r>
      <w:r w:rsidR="00C4650D">
        <w:rPr>
          <w:rFonts w:ascii="Arial Narrow" w:hAnsi="Arial Narrow" w:cs="Tahoma"/>
          <w:sz w:val="22"/>
        </w:rPr>
        <w:t>October</w:t>
      </w:r>
      <w:r w:rsidR="00C4650D" w:rsidRPr="00390647">
        <w:rPr>
          <w:rFonts w:ascii="Arial Narrow" w:hAnsi="Arial Narrow" w:cs="Tahoma"/>
          <w:sz w:val="22"/>
        </w:rPr>
        <w:t xml:space="preserve"> 2024, compared to </w:t>
      </w:r>
      <w:r w:rsidR="00C4650D">
        <w:rPr>
          <w:rFonts w:ascii="Arial Narrow" w:hAnsi="Arial Narrow" w:cs="Tahoma"/>
          <w:sz w:val="22"/>
        </w:rPr>
        <w:t>September 2024, increased by 2.9</w:t>
      </w:r>
      <w:r w:rsidR="00C4650D" w:rsidRPr="00390647">
        <w:rPr>
          <w:rFonts w:ascii="Arial Narrow" w:hAnsi="Arial Narrow" w:cs="Tahoma"/>
          <w:sz w:val="22"/>
        </w:rPr>
        <w:t>%.</w:t>
      </w:r>
    </w:p>
    <w:p w:rsidR="00EF2BA6" w:rsidRPr="00390647" w:rsidRDefault="00EF2BA6" w:rsidP="00EF2BA6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Working-day adjusted industrial production in </w:t>
      </w:r>
      <w:proofErr w:type="spellStart"/>
      <w:r w:rsidRPr="00390647">
        <w:rPr>
          <w:rFonts w:ascii="Arial Narrow" w:hAnsi="Arial Narrow" w:cs="Tahoma"/>
          <w:sz w:val="22"/>
        </w:rPr>
        <w:t>Republika</w:t>
      </w:r>
      <w:proofErr w:type="spellEnd"/>
      <w:r w:rsidRPr="00390647">
        <w:rPr>
          <w:rFonts w:ascii="Arial Narrow" w:hAnsi="Arial Narrow" w:cs="Tahoma"/>
          <w:sz w:val="22"/>
        </w:rPr>
        <w:t xml:space="preserve"> </w:t>
      </w:r>
      <w:proofErr w:type="spellStart"/>
      <w:r w:rsidRPr="00390647">
        <w:rPr>
          <w:rFonts w:ascii="Arial Narrow" w:hAnsi="Arial Narrow" w:cs="Tahoma"/>
          <w:sz w:val="22"/>
        </w:rPr>
        <w:t>Srpska</w:t>
      </w:r>
      <w:proofErr w:type="spellEnd"/>
      <w:r w:rsidRPr="00390647">
        <w:rPr>
          <w:rFonts w:ascii="Arial Narrow" w:hAnsi="Arial Narrow" w:cs="Tahoma"/>
          <w:sz w:val="22"/>
        </w:rPr>
        <w:t xml:space="preserve"> in the period January-</w:t>
      </w:r>
      <w:r w:rsidR="00C4650D"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2024, compared to the same </w:t>
      </w:r>
      <w:r w:rsidR="00C4650D">
        <w:rPr>
          <w:rFonts w:ascii="Arial Narrow" w:hAnsi="Arial Narrow" w:cs="Tahoma"/>
          <w:sz w:val="22"/>
        </w:rPr>
        <w:t>period of 2023, decreased by 5.6</w:t>
      </w:r>
      <w:r w:rsidRPr="00390647">
        <w:rPr>
          <w:rFonts w:ascii="Arial Narrow" w:hAnsi="Arial Narrow" w:cs="Tahoma"/>
          <w:sz w:val="22"/>
        </w:rPr>
        <w:t>%. During the same period, in the section</w:t>
      </w:r>
      <w:r w:rsidR="00C4650D">
        <w:rPr>
          <w:rFonts w:ascii="Arial Narrow" w:hAnsi="Arial Narrow" w:cs="Tahoma"/>
          <w:sz w:val="22"/>
        </w:rPr>
        <w:t xml:space="preserve"> </w:t>
      </w:r>
      <w:r w:rsidR="00C4650D" w:rsidRPr="00C4650D">
        <w:rPr>
          <w:rFonts w:ascii="Arial Narrow" w:hAnsi="Arial Narrow" w:cs="Tahoma"/>
          <w:i/>
          <w:sz w:val="22"/>
        </w:rPr>
        <w:t>Manufacturing</w:t>
      </w:r>
      <w:r w:rsidR="00C4650D" w:rsidRPr="00C4650D">
        <w:rPr>
          <w:rFonts w:ascii="Arial Narrow" w:hAnsi="Arial Narrow" w:cs="Tahoma"/>
          <w:b/>
          <w:i/>
          <w:sz w:val="22"/>
        </w:rPr>
        <w:t xml:space="preserve"> </w:t>
      </w:r>
      <w:r w:rsidR="00C4650D">
        <w:rPr>
          <w:rFonts w:ascii="Arial Narrow" w:hAnsi="Arial Narrow" w:cs="Tahoma"/>
          <w:sz w:val="22"/>
        </w:rPr>
        <w:t>a decrease by 4.7</w:t>
      </w:r>
      <w:r w:rsidR="00C4650D" w:rsidRPr="00390647">
        <w:rPr>
          <w:rFonts w:ascii="Arial Narrow" w:hAnsi="Arial Narrow" w:cs="Tahoma"/>
          <w:sz w:val="22"/>
        </w:rPr>
        <w:t>% was recorded</w:t>
      </w:r>
      <w:r w:rsidR="00C4650D">
        <w:rPr>
          <w:rFonts w:ascii="Arial Narrow" w:hAnsi="Arial Narrow" w:cs="Tahoma"/>
          <w:sz w:val="22"/>
        </w:rPr>
        <w:t>,</w:t>
      </w:r>
      <w:r w:rsidRPr="00390647">
        <w:rPr>
          <w:rFonts w:ascii="Arial Narrow" w:hAnsi="Arial Narrow" w:cs="Tahoma"/>
          <w:sz w:val="22"/>
        </w:rPr>
        <w:t xml:space="preserve"> </w:t>
      </w:r>
      <w:r w:rsidRPr="00390647">
        <w:rPr>
          <w:rFonts w:ascii="Arial Narrow" w:hAnsi="Arial Narrow" w:cs="Tahoma"/>
          <w:i/>
          <w:sz w:val="22"/>
        </w:rPr>
        <w:t>Electricity, gas, steam and air-conditioning supply</w:t>
      </w:r>
      <w:r w:rsidR="00C4650D">
        <w:rPr>
          <w:rFonts w:ascii="Arial Narrow" w:hAnsi="Arial Narrow" w:cs="Tahoma"/>
          <w:sz w:val="22"/>
        </w:rPr>
        <w:t xml:space="preserve"> a decrease by 6.4</w:t>
      </w:r>
      <w:r w:rsidRPr="00390647">
        <w:rPr>
          <w:rFonts w:ascii="Arial Narrow" w:hAnsi="Arial Narrow" w:cs="Tahoma"/>
          <w:sz w:val="22"/>
        </w:rPr>
        <w:t>%</w:t>
      </w:r>
      <w:r w:rsidR="00C4650D">
        <w:rPr>
          <w:rFonts w:ascii="Arial Narrow" w:hAnsi="Arial Narrow" w:cs="Tahoma"/>
          <w:sz w:val="22"/>
        </w:rPr>
        <w:t xml:space="preserve"> and</w:t>
      </w:r>
      <w:r w:rsidRPr="00390647">
        <w:rPr>
          <w:rFonts w:ascii="Arial Narrow" w:hAnsi="Arial Narrow" w:cs="Tahoma"/>
          <w:sz w:val="22"/>
        </w:rPr>
        <w:t xml:space="preserve"> in the section </w:t>
      </w:r>
      <w:r w:rsidR="00C4650D">
        <w:rPr>
          <w:rFonts w:ascii="Arial Narrow" w:hAnsi="Arial Narrow" w:cs="Tahoma"/>
          <w:i/>
          <w:sz w:val="22"/>
        </w:rPr>
        <w:t>Mining and quarrying</w:t>
      </w:r>
      <w:r w:rsidRPr="00390647">
        <w:rPr>
          <w:rFonts w:ascii="Arial Narrow" w:hAnsi="Arial Narrow" w:cs="Tahoma"/>
          <w:i/>
          <w:sz w:val="22"/>
        </w:rPr>
        <w:t xml:space="preserve"> </w:t>
      </w:r>
      <w:r w:rsidRPr="00390647">
        <w:rPr>
          <w:rFonts w:ascii="Arial Narrow" w:hAnsi="Arial Narrow" w:cs="Tahoma"/>
          <w:sz w:val="22"/>
        </w:rPr>
        <w:t xml:space="preserve">a decrease </w:t>
      </w:r>
      <w:r w:rsidR="00C4650D">
        <w:rPr>
          <w:rFonts w:ascii="Arial Narrow" w:hAnsi="Arial Narrow" w:cs="Tahoma"/>
          <w:sz w:val="22"/>
        </w:rPr>
        <w:t>by 11.1</w:t>
      </w:r>
      <w:r w:rsidRPr="00390647">
        <w:rPr>
          <w:rFonts w:ascii="Arial Narrow" w:hAnsi="Arial Narrow" w:cs="Tahoma"/>
          <w:sz w:val="22"/>
        </w:rPr>
        <w:t>%.</w:t>
      </w:r>
    </w:p>
    <w:p w:rsidR="00347E9F" w:rsidRPr="00013CF4" w:rsidRDefault="00347E9F" w:rsidP="00347E9F">
      <w:pPr>
        <w:jc w:val="both"/>
        <w:rPr>
          <w:rFonts w:ascii="Arial Narrow" w:hAnsi="Arial Narrow" w:cs="Tahoma"/>
          <w:sz w:val="22"/>
          <w:lang w:val="sr-Cyrl-BA"/>
        </w:rPr>
      </w:pPr>
    </w:p>
    <w:p w:rsidR="00B97BCB" w:rsidRPr="00013CF4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13CF4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13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2595180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86.85pt;margin-top:204.3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ZhRAIAAIIEAAAOAAAAZHJzL2Uyb0RvYy54bWysVE1vGjEQvVfqf7B8b5Yl5AtliSgRVSWU&#10;RApVzsbrhZW8Htc27NJf32cvkI/2VPVixjNvn2fezHB71zWa7ZTzNZmC52cDzpSRVNZmXfAfy/mX&#10;a858EKYUmowq+F55fjf5/Om2tWM1pA3pUjkGEuPHrS34JgQ7zjIvN6oR/oysMghW5BoRcHXrrHSi&#10;BXujs+FgcJm15ErrSCrv4b3vg3yS+KtKyfBYVV4FpguO3EI6XTpX8cwmt2K8dsJuanlIQ/xDFo2o&#10;DR49Ud2LINjW1X9QNbV05KkKZ5KajKqqlirVgGrywYdqnjfCqlQLxPH2JJP/f7TyYffkWF2id0PO&#10;jGjQo6XqAvtKHYML+rTWjwF7tgCGDn5gj34PZyy7q1wTf1EQQxxK70/qRjYJ53B4kV9fIyQRy2+u&#10;zvNRpMlev7bOh2+KGhaNgjt0L4kqdgsfeugREh/zpOtyXmudLnFi1Ew7thPotQ4pR5C/Q2nD2oJf&#10;nl8MErGh+HnPrA1yibX2NUUrdKsuaXPSYUXlHjI46gfJWzmvketC+PAkHCYH5WEbwiOOShPeooPF&#10;2Ybcr7/5Ix4NRZSzFpNYcP9zK5ziTH83aPVNPhrF0U2X0cXVEBf3NrJ6GzHbZkYQIMfeWZnMiA/6&#10;aFaOmhcszTS+ipAwEm8XPBzNWej3A0sn1XSaQBhWK8LCPFsZqaPgsRPL7kU4e2hXQKMf6DizYvyh&#10;az02fmloug1U1amlUede1YP8GPQ0FIeljJv09p5Qr38dk98AAAD//wMAUEsDBBQABgAIAAAAIQDO&#10;gJg84QAAAAsBAAAPAAAAZHJzL2Rvd25yZXYueG1sTI9NT4QwEIbvJv6HZky8GLe4VUGkbIzxI/Hm&#10;4ke8dekIRDoltAv47x1PepuPJ+88U2wW14sJx9B50nC2SkAg1d521Gh4qe5PMxAhGrKm94QavjHA&#10;pjw8KExu/UzPOG1jIziEQm40tDEOuZShbtGZsPIDEu8+/ehM5HZspB3NzOGul+skuZTOdMQXWjPg&#10;bYv113bvNHycNO9PYXl4ndWFGu4epyp9s5XWx0fLzTWIiEv8g+FXn9WhZKed35MNotegUpUyquE8&#10;ybhgIl1nCsSOJ+oqA1kW8v8P5Q8AAAD//wMAUEsBAi0AFAAGAAgAAAAhALaDOJL+AAAA4QEAABMA&#10;AAAAAAAAAAAAAAAAAAAAAFtDb250ZW50X1R5cGVzXS54bWxQSwECLQAUAAYACAAAACEAOP0h/9YA&#10;AACUAQAACwAAAAAAAAAAAAAAAAAvAQAAX3JlbHMvLnJlbHNQSwECLQAUAAYACAAAACEAF6mmYUQC&#10;AACCBAAADgAAAAAAAAAAAAAAAAAuAgAAZHJzL2Uyb0RvYy54bWxQSwECLQAUAAYACAAAACEAzoCY&#10;PO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B92EAC" w:rsidRPr="00013CF4">
        <w:rPr>
          <w:noProof/>
        </w:rPr>
        <w:drawing>
          <wp:inline distT="0" distB="0" distL="0" distR="0" wp14:anchorId="723A5073" wp14:editId="422D4709">
            <wp:extent cx="6480810" cy="2831911"/>
            <wp:effectExtent l="0" t="0" r="0" b="698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013CF4" w:rsidRDefault="00347EC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 3.</w:t>
      </w:r>
      <w:r w:rsidRPr="00390647">
        <w:rPr>
          <w:rFonts w:ascii="Arial Narrow" w:hAnsi="Arial Narrow" w:cs="Tahoma"/>
          <w:sz w:val="16"/>
          <w:szCs w:val="16"/>
        </w:rPr>
        <w:t xml:space="preserve"> Indices of industrial production</w:t>
      </w:r>
      <w:r>
        <w:rPr>
          <w:rFonts w:ascii="Arial Narrow" w:hAnsi="Arial Narrow" w:cs="Tahoma"/>
          <w:sz w:val="16"/>
          <w:szCs w:val="16"/>
        </w:rPr>
        <w:t>,</w:t>
      </w:r>
      <w:r w:rsidRPr="00013CF4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>
        <w:rPr>
          <w:rFonts w:ascii="Arial Narrow" w:hAnsi="Arial Narrow" w:cs="Tahoma"/>
          <w:sz w:val="16"/>
          <w:szCs w:val="16"/>
        </w:rPr>
        <w:t>September</w:t>
      </w:r>
      <w:r w:rsidR="00C411FF" w:rsidRPr="00013CF4">
        <w:rPr>
          <w:rFonts w:ascii="Arial Narrow" w:hAnsi="Arial Narrow" w:cs="Tahoma"/>
          <w:sz w:val="16"/>
          <w:szCs w:val="16"/>
        </w:rPr>
        <w:t xml:space="preserve"> </w:t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13CF4">
        <w:rPr>
          <w:rFonts w:ascii="Arial Narrow" w:hAnsi="Arial Narrow" w:cs="Tahoma"/>
          <w:sz w:val="16"/>
          <w:szCs w:val="16"/>
        </w:rPr>
        <w:t>20</w:t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September</w:t>
      </w:r>
      <w:r w:rsidR="00C411FF" w:rsidRPr="00013CF4">
        <w:rPr>
          <w:rFonts w:ascii="Arial Narrow" w:hAnsi="Arial Narrow" w:cs="Tahoma"/>
          <w:sz w:val="16"/>
          <w:szCs w:val="16"/>
        </w:rPr>
        <w:t xml:space="preserve"> </w:t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013CF4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13CF4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013CF4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013CF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13CF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13CF4" w:rsidRDefault="00347EC1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390647">
        <w:rPr>
          <w:rFonts w:ascii="Arial Narrow" w:hAnsi="Arial Narrow" w:cs="Tahoma"/>
          <w:b/>
          <w:sz w:val="28"/>
        </w:rPr>
        <w:t xml:space="preserve">Number of employees in industry </w:t>
      </w:r>
      <w:r w:rsidR="00A22D9B" w:rsidRPr="00013CF4">
        <w:rPr>
          <w:rFonts w:ascii="Arial Narrow" w:hAnsi="Arial Narrow" w:cs="Tahoma"/>
          <w:b/>
          <w:sz w:val="28"/>
          <w:lang w:val="ru-RU"/>
        </w:rPr>
        <w:t>(</w:t>
      </w:r>
      <w:r>
        <w:rPr>
          <w:rFonts w:ascii="Arial Narrow" w:hAnsi="Arial Narrow" w:cs="Tahoma"/>
          <w:b/>
          <w:sz w:val="28"/>
          <w:lang w:val="sr-Latn-BA"/>
        </w:rPr>
        <w:t>October</w:t>
      </w:r>
      <w:r w:rsidR="00A22D9B" w:rsidRPr="00013CF4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A22D9B" w:rsidRPr="00013CF4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013CF4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013CF4">
        <w:rPr>
          <w:rFonts w:ascii="Arial Narrow" w:hAnsi="Arial Narrow" w:cs="Tahoma"/>
          <w:b/>
          <w:sz w:val="28"/>
          <w:szCs w:val="30"/>
          <w:lang w:val="sr-Latn-BA"/>
        </w:rPr>
        <w:t>/</w:t>
      </w:r>
      <w:r>
        <w:rPr>
          <w:rFonts w:ascii="Arial Narrow" w:hAnsi="Arial Narrow" w:cs="Tahoma"/>
          <w:b/>
          <w:sz w:val="28"/>
          <w:lang w:val="sr-Latn-BA"/>
        </w:rPr>
        <w:t>November</w:t>
      </w:r>
      <w:r w:rsidR="00935795" w:rsidRPr="00013CF4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A22D9B" w:rsidRPr="00013CF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A22D9B" w:rsidRPr="00013CF4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0F566D" w:rsidRPr="00013CF4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="00A22D9B" w:rsidRPr="00013CF4">
        <w:rPr>
          <w:rFonts w:ascii="Arial Narrow" w:hAnsi="Arial Narrow" w:cs="Tahoma"/>
          <w:b/>
          <w:sz w:val="28"/>
          <w:lang w:val="ru-RU"/>
        </w:rPr>
        <w:t>)</w:t>
      </w:r>
      <w:r w:rsidR="00A22D9B" w:rsidRPr="00013CF4">
        <w:rPr>
          <w:rFonts w:ascii="Arial Narrow" w:hAnsi="Arial Narrow" w:cs="Tahoma"/>
          <w:b/>
          <w:sz w:val="28"/>
          <w:lang w:val="sr-Latn-BA"/>
        </w:rPr>
        <w:t xml:space="preserve"> </w:t>
      </w:r>
      <w:r>
        <w:rPr>
          <w:rFonts w:ascii="Arial Narrow" w:hAnsi="Arial Narrow" w:cs="Tahoma"/>
          <w:b/>
          <w:sz w:val="28"/>
        </w:rPr>
        <w:t>decreased by</w:t>
      </w:r>
      <w:r w:rsidR="00A22D9B" w:rsidRPr="00013CF4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0F566D" w:rsidRPr="00013CF4">
        <w:rPr>
          <w:rFonts w:ascii="Arial Narrow" w:hAnsi="Arial Narrow" w:cs="Tahoma"/>
          <w:b/>
          <w:sz w:val="28"/>
          <w:lang w:val="sr-Cyrl-BA"/>
        </w:rPr>
        <w:t>0</w:t>
      </w:r>
      <w:r>
        <w:rPr>
          <w:rFonts w:ascii="Arial Narrow" w:hAnsi="Arial Narrow" w:cs="Tahoma"/>
          <w:b/>
          <w:sz w:val="28"/>
          <w:lang w:val="sr-Cyrl-BA"/>
        </w:rPr>
        <w:t>.</w:t>
      </w:r>
      <w:r w:rsidR="001B61DC" w:rsidRPr="00013CF4">
        <w:rPr>
          <w:rFonts w:ascii="Arial Narrow" w:hAnsi="Arial Narrow" w:cs="Tahoma"/>
          <w:b/>
          <w:sz w:val="28"/>
          <w:lang w:val="sr-Cyrl-BA"/>
        </w:rPr>
        <w:t>2</w:t>
      </w:r>
      <w:r w:rsidR="00A22D9B" w:rsidRPr="00013CF4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013CF4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771D49" w:rsidRPr="00390647" w:rsidRDefault="00771D49" w:rsidP="00771D49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390647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>
        <w:rPr>
          <w:rFonts w:ascii="Arial Narrow" w:hAnsi="Arial Narrow" w:cs="Tahoma"/>
          <w:sz w:val="22"/>
          <w:lang w:val="en-US"/>
        </w:rPr>
        <w:t>October</w:t>
      </w:r>
      <w:r w:rsidRPr="00390647">
        <w:rPr>
          <w:rFonts w:ascii="Arial Narrow" w:hAnsi="Arial Narrow" w:cs="Tahoma"/>
          <w:sz w:val="22"/>
          <w:lang w:val="en-US"/>
        </w:rPr>
        <w:t xml:space="preserve"> 2024, compared to the </w:t>
      </w:r>
      <w:r>
        <w:rPr>
          <w:rFonts w:ascii="Arial Narrow" w:hAnsi="Arial Narrow" w:cs="Tahoma"/>
          <w:sz w:val="22"/>
          <w:lang w:val="en-US"/>
        </w:rPr>
        <w:t>previous</w:t>
      </w:r>
      <w:r w:rsidRPr="00390647">
        <w:rPr>
          <w:rFonts w:ascii="Arial Narrow" w:hAnsi="Arial Narrow" w:cs="Tahoma"/>
          <w:sz w:val="22"/>
          <w:lang w:val="en-US"/>
        </w:rPr>
        <w:t xml:space="preserve"> month</w:t>
      </w:r>
      <w:r>
        <w:rPr>
          <w:rFonts w:ascii="Arial Narrow" w:hAnsi="Arial Narrow" w:cs="Tahoma"/>
          <w:sz w:val="22"/>
          <w:lang w:val="en-US"/>
        </w:rPr>
        <w:t>, was 0.2</w:t>
      </w:r>
      <w:r w:rsidRPr="00390647">
        <w:rPr>
          <w:rFonts w:ascii="Arial Narrow" w:hAnsi="Arial Narrow" w:cs="Tahoma"/>
          <w:sz w:val="22"/>
          <w:lang w:val="en-US"/>
        </w:rPr>
        <w:t>% lower. Number of employees in</w:t>
      </w:r>
      <w:r>
        <w:rPr>
          <w:rFonts w:ascii="Arial Narrow" w:hAnsi="Arial Narrow" w:cs="Tahoma"/>
          <w:sz w:val="22"/>
          <w:lang w:val="en-US"/>
        </w:rPr>
        <w:t xml:space="preserve"> industry in September</w:t>
      </w:r>
      <w:r w:rsidRPr="00390647">
        <w:rPr>
          <w:rFonts w:ascii="Arial Narrow" w:hAnsi="Arial Narrow" w:cs="Tahoma"/>
          <w:sz w:val="22"/>
          <w:lang w:val="en-US"/>
        </w:rPr>
        <w:t xml:space="preserve"> 2024, compa</w:t>
      </w:r>
      <w:r>
        <w:rPr>
          <w:rFonts w:ascii="Arial Narrow" w:hAnsi="Arial Narrow" w:cs="Tahoma"/>
          <w:sz w:val="22"/>
          <w:lang w:val="en-US"/>
        </w:rPr>
        <w:t>red to the 2023 average, was 6.2</w:t>
      </w:r>
      <w:r w:rsidRPr="00390647">
        <w:rPr>
          <w:rFonts w:ascii="Arial Narrow" w:hAnsi="Arial Narrow" w:cs="Tahoma"/>
          <w:sz w:val="22"/>
          <w:lang w:val="en-US"/>
        </w:rPr>
        <w:t xml:space="preserve">% lower, while compared to </w:t>
      </w:r>
      <w:r>
        <w:rPr>
          <w:rFonts w:ascii="Arial Narrow" w:hAnsi="Arial Narrow" w:cs="Tahoma"/>
          <w:sz w:val="22"/>
          <w:lang w:val="en-US"/>
        </w:rPr>
        <w:t>September 2023 it was 5.2</w:t>
      </w:r>
      <w:r w:rsidRPr="00390647">
        <w:rPr>
          <w:rFonts w:ascii="Arial Narrow" w:hAnsi="Arial Narrow" w:cs="Tahoma"/>
          <w:sz w:val="22"/>
          <w:lang w:val="en-US"/>
        </w:rPr>
        <w:t>% lower.</w:t>
      </w:r>
    </w:p>
    <w:p w:rsidR="00771D49" w:rsidRPr="00390647" w:rsidRDefault="00771D49" w:rsidP="00771D49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771D49" w:rsidRDefault="00771D49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771D49" w:rsidRPr="00390647" w:rsidRDefault="00771D49" w:rsidP="008D684E">
      <w:pPr>
        <w:jc w:val="both"/>
        <w:rPr>
          <w:rFonts w:ascii="Arial Narrow" w:hAnsi="Arial Narrow" w:cs="Tahoma"/>
          <w:b/>
          <w:sz w:val="30"/>
          <w:szCs w:val="30"/>
        </w:rPr>
      </w:pPr>
      <w:r w:rsidRPr="00390647">
        <w:rPr>
          <w:rFonts w:ascii="Arial Narrow" w:hAnsi="Arial Narrow" w:cs="Tahoma"/>
          <w:b/>
          <w:sz w:val="30"/>
          <w:szCs w:val="30"/>
        </w:rPr>
        <w:t>In the period January-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Pr="00390647">
        <w:rPr>
          <w:rFonts w:ascii="Arial Narrow" w:hAnsi="Arial Narrow" w:cs="Tahoma"/>
          <w:b/>
          <w:sz w:val="30"/>
          <w:szCs w:val="30"/>
        </w:rPr>
        <w:t xml:space="preserve"> 2024 </w:t>
      </w:r>
      <w:r w:rsidR="008D684E" w:rsidRPr="002C4146">
        <w:rPr>
          <w:rFonts w:ascii="Arial Narrow" w:hAnsi="Arial Narrow" w:cs="Tahoma"/>
          <w:b/>
          <w:sz w:val="30"/>
          <w:szCs w:val="30"/>
        </w:rPr>
        <w:t>the volume of trade exchange</w:t>
      </w:r>
      <w:r w:rsidRPr="00390647">
        <w:rPr>
          <w:rFonts w:ascii="Arial Narrow" w:hAnsi="Arial Narrow" w:cs="Tahoma"/>
          <w:b/>
          <w:sz w:val="30"/>
          <w:szCs w:val="30"/>
        </w:rPr>
        <w:t xml:space="preserve"> w</w:t>
      </w:r>
      <w:r w:rsidR="008D684E">
        <w:rPr>
          <w:rFonts w:ascii="Arial Narrow" w:hAnsi="Arial Narrow" w:cs="Tahoma"/>
          <w:b/>
          <w:sz w:val="30"/>
          <w:szCs w:val="30"/>
        </w:rPr>
        <w:t>ith</w:t>
      </w:r>
      <w:r w:rsidRPr="00390647">
        <w:rPr>
          <w:rFonts w:ascii="Arial Narrow" w:hAnsi="Arial Narrow" w:cs="Tahoma"/>
          <w:b/>
          <w:sz w:val="30"/>
          <w:szCs w:val="30"/>
        </w:rPr>
        <w:t xml:space="preserve"> Serbia</w:t>
      </w:r>
      <w:r w:rsidR="008D684E">
        <w:rPr>
          <w:rFonts w:ascii="Arial Narrow" w:hAnsi="Arial Narrow" w:cs="Tahoma"/>
          <w:b/>
          <w:sz w:val="30"/>
          <w:szCs w:val="30"/>
        </w:rPr>
        <w:t xml:space="preserve"> was 1.67 billion KM</w:t>
      </w:r>
    </w:p>
    <w:p w:rsidR="0084126B" w:rsidRPr="00013CF4" w:rsidRDefault="0084126B" w:rsidP="008D684E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13CF4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D684E" w:rsidRPr="00390647" w:rsidRDefault="008D684E" w:rsidP="008D684E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2024, the value of export was </w:t>
      </w:r>
      <w:r>
        <w:rPr>
          <w:rFonts w:ascii="Arial Narrow" w:hAnsi="Arial Narrow" w:cs="Tahoma"/>
          <w:sz w:val="22"/>
        </w:rPr>
        <w:t>four billion and 170</w:t>
      </w:r>
      <w:r w:rsidRPr="00390647">
        <w:rPr>
          <w:rFonts w:ascii="Arial Narrow" w:hAnsi="Arial Narrow" w:cs="Tahoma"/>
          <w:sz w:val="22"/>
        </w:rPr>
        <w:t xml:space="preserve"> million KM, whi</w:t>
      </w:r>
      <w:r>
        <w:rPr>
          <w:rFonts w:ascii="Arial Narrow" w:hAnsi="Arial Narrow" w:cs="Tahoma"/>
          <w:sz w:val="22"/>
        </w:rPr>
        <w:t>ch represented a decrease by 4.3</w:t>
      </w:r>
      <w:r w:rsidRPr="00390647">
        <w:rPr>
          <w:rFonts w:ascii="Arial Narrow" w:hAnsi="Arial Narrow" w:cs="Tahoma"/>
          <w:sz w:val="22"/>
        </w:rPr>
        <w:t xml:space="preserve">% compared to the period January - </w:t>
      </w:r>
      <w:r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2023, while the value of import was </w:t>
      </w:r>
      <w:r>
        <w:rPr>
          <w:rFonts w:ascii="Arial Narrow" w:hAnsi="Arial Narrow" w:cs="Tahoma"/>
          <w:sz w:val="22"/>
        </w:rPr>
        <w:t>six</w:t>
      </w:r>
      <w:r w:rsidRPr="00390647"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101</w:t>
      </w:r>
      <w:r w:rsidRPr="00390647">
        <w:rPr>
          <w:rFonts w:ascii="Arial Narrow" w:hAnsi="Arial Narrow" w:cs="Tahoma"/>
          <w:sz w:val="22"/>
        </w:rPr>
        <w:t xml:space="preserve"> million KM, whic</w:t>
      </w:r>
      <w:r>
        <w:rPr>
          <w:rFonts w:ascii="Arial Narrow" w:hAnsi="Arial Narrow" w:cs="Tahoma"/>
          <w:sz w:val="22"/>
        </w:rPr>
        <w:t>h represented an increase by 4.6</w:t>
      </w:r>
      <w:r w:rsidRPr="00390647">
        <w:rPr>
          <w:rFonts w:ascii="Arial Narrow" w:hAnsi="Arial Narrow" w:cs="Tahoma"/>
          <w:sz w:val="22"/>
        </w:rPr>
        <w:t>% compared to the period January -</w:t>
      </w:r>
      <w:r w:rsidRPr="00390647">
        <w:t xml:space="preserve"> </w:t>
      </w:r>
      <w:r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2023. The percentage of coverag</w:t>
      </w:r>
      <w:r>
        <w:rPr>
          <w:rFonts w:ascii="Arial Narrow" w:hAnsi="Arial Narrow" w:cs="Tahoma"/>
          <w:sz w:val="22"/>
        </w:rPr>
        <w:t>e of import with export was 68.4</w:t>
      </w:r>
      <w:r w:rsidRPr="00390647">
        <w:rPr>
          <w:rFonts w:ascii="Arial Narrow" w:hAnsi="Arial Narrow" w:cs="Tahoma"/>
          <w:sz w:val="22"/>
        </w:rPr>
        <w:t>%.</w:t>
      </w:r>
    </w:p>
    <w:p w:rsidR="00BD5F3E" w:rsidRPr="00013CF4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A065DC" w:rsidRPr="00390647" w:rsidRDefault="00A065DC" w:rsidP="00A065DC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</w:t>
      </w:r>
      <w:r>
        <w:rPr>
          <w:rFonts w:ascii="Arial Narrow" w:hAnsi="Arial Narrow" w:cs="Tahoma"/>
          <w:sz w:val="22"/>
        </w:rPr>
        <w:t xml:space="preserve">24, the value of export was 472 </w:t>
      </w:r>
      <w:r w:rsidRPr="00390647">
        <w:rPr>
          <w:rFonts w:ascii="Arial Narrow" w:hAnsi="Arial Narrow" w:cs="Tahoma"/>
          <w:sz w:val="22"/>
        </w:rPr>
        <w:t>million KM, whic</w:t>
      </w:r>
      <w:r>
        <w:rPr>
          <w:rFonts w:ascii="Arial Narrow" w:hAnsi="Arial Narrow" w:cs="Tahoma"/>
          <w:sz w:val="22"/>
        </w:rPr>
        <w:t>h represented an increase by 6.9</w:t>
      </w:r>
      <w:r w:rsidRPr="00390647">
        <w:rPr>
          <w:rFonts w:ascii="Arial Narrow" w:hAnsi="Arial Narrow" w:cs="Tahoma"/>
          <w:sz w:val="22"/>
        </w:rPr>
        <w:t>% compared to the same month of 2023, w</w:t>
      </w:r>
      <w:r>
        <w:rPr>
          <w:rFonts w:ascii="Arial Narrow" w:hAnsi="Arial Narrow" w:cs="Tahoma"/>
          <w:sz w:val="22"/>
        </w:rPr>
        <w:t>hile the value of import was 664</w:t>
      </w:r>
      <w:r w:rsidRPr="00390647">
        <w:rPr>
          <w:rFonts w:ascii="Arial Narrow" w:hAnsi="Arial Narrow" w:cs="Tahoma"/>
          <w:sz w:val="22"/>
        </w:rPr>
        <w:t xml:space="preserve"> million KM, which</w:t>
      </w:r>
      <w:r>
        <w:rPr>
          <w:rFonts w:ascii="Arial Narrow" w:hAnsi="Arial Narrow" w:cs="Tahoma"/>
          <w:sz w:val="22"/>
        </w:rPr>
        <w:t xml:space="preserve"> represented an increase by 10.7</w:t>
      </w:r>
      <w:r w:rsidRPr="00390647">
        <w:rPr>
          <w:rFonts w:ascii="Arial Narrow" w:hAnsi="Arial Narrow" w:cs="Tahoma"/>
          <w:sz w:val="22"/>
        </w:rPr>
        <w:t xml:space="preserve">% compared to </w:t>
      </w:r>
      <w:r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2023. The percentage of coverag</w:t>
      </w:r>
      <w:r>
        <w:rPr>
          <w:rFonts w:ascii="Arial Narrow" w:hAnsi="Arial Narrow" w:cs="Tahoma"/>
          <w:sz w:val="22"/>
        </w:rPr>
        <w:t>e of import with export was 71.0</w:t>
      </w:r>
      <w:r w:rsidRPr="00390647">
        <w:rPr>
          <w:rFonts w:ascii="Arial Narrow" w:hAnsi="Arial Narrow" w:cs="Tahoma"/>
          <w:sz w:val="22"/>
        </w:rPr>
        <w:t>%.</w:t>
      </w:r>
    </w:p>
    <w:p w:rsidR="00A065DC" w:rsidRPr="00390647" w:rsidRDefault="00A065DC" w:rsidP="00A065DC">
      <w:pPr>
        <w:jc w:val="both"/>
        <w:rPr>
          <w:rFonts w:ascii="Arial Narrow" w:hAnsi="Arial Narrow" w:cs="Tahoma"/>
          <w:sz w:val="22"/>
        </w:rPr>
      </w:pPr>
    </w:p>
    <w:p w:rsidR="00BD5F3E" w:rsidRPr="00013CF4" w:rsidRDefault="009D4C2E" w:rsidP="00BD5F3E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390647">
        <w:rPr>
          <w:rFonts w:ascii="Arial Narrow" w:hAnsi="Arial Narrow" w:cs="Tahoma"/>
          <w:sz w:val="22"/>
        </w:rPr>
        <w:t>Republika</w:t>
      </w:r>
      <w:proofErr w:type="spellEnd"/>
      <w:r w:rsidRPr="00390647">
        <w:rPr>
          <w:rFonts w:ascii="Arial Narrow" w:hAnsi="Arial Narrow" w:cs="Tahoma"/>
          <w:sz w:val="22"/>
        </w:rPr>
        <w:t xml:space="preserve"> </w:t>
      </w:r>
      <w:proofErr w:type="spellStart"/>
      <w:r w:rsidRPr="00390647">
        <w:rPr>
          <w:rFonts w:ascii="Arial Narrow" w:hAnsi="Arial Narrow" w:cs="Tahoma"/>
          <w:sz w:val="22"/>
        </w:rPr>
        <w:t>Srpska</w:t>
      </w:r>
      <w:proofErr w:type="spellEnd"/>
      <w:r w:rsidRPr="00390647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2024, the highest value of export was that of export to Croatia, with </w:t>
      </w:r>
      <w:r>
        <w:rPr>
          <w:rFonts w:ascii="Arial Narrow" w:hAnsi="Arial Narrow" w:cs="Tahoma"/>
          <w:sz w:val="22"/>
        </w:rPr>
        <w:t>707 million KM or 16.9</w:t>
      </w:r>
      <w:r w:rsidRPr="00390647">
        <w:rPr>
          <w:rFonts w:ascii="Arial Narrow" w:hAnsi="Arial Narrow" w:cs="Tahoma"/>
          <w:sz w:val="22"/>
        </w:rPr>
        <w:t xml:space="preserve">%, followed by Serbia, with </w:t>
      </w:r>
      <w:r>
        <w:rPr>
          <w:rFonts w:ascii="Arial Narrow" w:hAnsi="Arial Narrow" w:cs="Tahoma"/>
          <w:sz w:val="22"/>
        </w:rPr>
        <w:t>679 million KM or 16.3</w:t>
      </w:r>
      <w:r w:rsidRPr="00390647">
        <w:rPr>
          <w:rFonts w:ascii="Arial Narrow" w:hAnsi="Arial Narrow" w:cs="Tahoma"/>
          <w:sz w:val="22"/>
        </w:rPr>
        <w:t xml:space="preserve">% of </w:t>
      </w:r>
      <w:r w:rsidRPr="00390647">
        <w:rPr>
          <w:rFonts w:ascii="Arial Narrow" w:hAnsi="Arial Narrow" w:cs="Tahoma"/>
          <w:sz w:val="22"/>
        </w:rPr>
        <w:lastRenderedPageBreak/>
        <w:t xml:space="preserve">the total </w:t>
      </w:r>
      <w:proofErr w:type="spellStart"/>
      <w:r w:rsidRPr="00390647">
        <w:rPr>
          <w:rFonts w:ascii="Arial Narrow" w:hAnsi="Arial Narrow" w:cs="Tahoma"/>
          <w:sz w:val="22"/>
        </w:rPr>
        <w:t>realised</w:t>
      </w:r>
      <w:proofErr w:type="spellEnd"/>
      <w:r w:rsidRPr="00390647">
        <w:rPr>
          <w:rFonts w:ascii="Arial Narrow" w:hAnsi="Arial Narrow" w:cs="Tahoma"/>
          <w:sz w:val="22"/>
        </w:rPr>
        <w:t xml:space="preserve"> export. During the same period, the highest value of import was that</w:t>
      </w:r>
      <w:r>
        <w:rPr>
          <w:rFonts w:ascii="Arial Narrow" w:hAnsi="Arial Narrow" w:cs="Tahoma"/>
          <w:sz w:val="22"/>
        </w:rPr>
        <w:t xml:space="preserve"> of import from Serbia, with 995 million KM or 16.3%, followed by Italy, with 928 million KM or 15.2</w:t>
      </w:r>
      <w:r w:rsidRPr="00390647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390647">
        <w:rPr>
          <w:rFonts w:ascii="Arial Narrow" w:hAnsi="Arial Narrow" w:cs="Tahoma"/>
          <w:sz w:val="22"/>
        </w:rPr>
        <w:t>realised</w:t>
      </w:r>
      <w:proofErr w:type="spellEnd"/>
      <w:r w:rsidRPr="00390647">
        <w:rPr>
          <w:rFonts w:ascii="Arial Narrow" w:hAnsi="Arial Narrow" w:cs="Tahoma"/>
          <w:sz w:val="22"/>
        </w:rPr>
        <w:t xml:space="preserve"> import</w:t>
      </w:r>
      <w:r>
        <w:rPr>
          <w:rFonts w:ascii="Arial Narrow" w:hAnsi="Arial Narrow" w:cs="Tahoma"/>
          <w:sz w:val="22"/>
        </w:rPr>
        <w:t>.</w:t>
      </w:r>
    </w:p>
    <w:p w:rsidR="009D4C2E" w:rsidRDefault="009D4C2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9D4C2E" w:rsidRDefault="009D4C2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  <w:r w:rsidRPr="00390647">
        <w:rPr>
          <w:rFonts w:ascii="Arial Narrow" w:hAnsi="Arial Narrow" w:cs="Tahoma"/>
          <w:sz w:val="22"/>
        </w:rPr>
        <w:t xml:space="preserve">By group of products, in the period January - </w:t>
      </w:r>
      <w:r w:rsidR="00303152">
        <w:rPr>
          <w:rFonts w:ascii="Arial Narrow" w:hAnsi="Arial Narrow" w:cs="Tahoma"/>
          <w:sz w:val="22"/>
        </w:rPr>
        <w:t>October</w:t>
      </w:r>
      <w:r w:rsidRPr="00390647">
        <w:rPr>
          <w:rFonts w:ascii="Arial Narrow" w:hAnsi="Arial Narrow" w:cs="Tahoma"/>
          <w:sz w:val="22"/>
        </w:rPr>
        <w:t xml:space="preserve"> 2024, the highest share in export was that of electric</w:t>
      </w:r>
      <w:r w:rsidR="00303152">
        <w:rPr>
          <w:rFonts w:ascii="Arial Narrow" w:hAnsi="Arial Narrow" w:cs="Tahoma"/>
          <w:sz w:val="22"/>
        </w:rPr>
        <w:t>ity, with the total value of 309 million KM, which was 7.4</w:t>
      </w:r>
      <w:r w:rsidRPr="00390647">
        <w:rPr>
          <w:rFonts w:ascii="Arial Narrow" w:hAnsi="Arial Narrow" w:cs="Tahoma"/>
          <w:sz w:val="22"/>
        </w:rPr>
        <w:t>% of the total export, while the highest share in import was that of petroleum oils and oils obtained from bituminous minerals (other than cru</w:t>
      </w:r>
      <w:r w:rsidR="00303152">
        <w:rPr>
          <w:rFonts w:ascii="Arial Narrow" w:hAnsi="Arial Narrow" w:cs="Tahoma"/>
          <w:sz w:val="22"/>
        </w:rPr>
        <w:t>de), with the total value of 440</w:t>
      </w:r>
      <w:r w:rsidRPr="00390647">
        <w:rPr>
          <w:rFonts w:ascii="Arial Narrow" w:hAnsi="Arial Narrow" w:cs="Tahoma"/>
          <w:sz w:val="22"/>
        </w:rPr>
        <w:t xml:space="preserve"> </w:t>
      </w:r>
      <w:r w:rsidR="00303152">
        <w:rPr>
          <w:rFonts w:ascii="Arial Narrow" w:hAnsi="Arial Narrow" w:cs="Tahoma"/>
          <w:sz w:val="22"/>
        </w:rPr>
        <w:t>million KM, which was 7.2</w:t>
      </w:r>
      <w:r w:rsidRPr="00390647">
        <w:rPr>
          <w:rFonts w:ascii="Arial Narrow" w:hAnsi="Arial Narrow" w:cs="Tahoma"/>
          <w:sz w:val="22"/>
        </w:rPr>
        <w:t>% of the total import</w:t>
      </w:r>
    </w:p>
    <w:p w:rsidR="009D4C2E" w:rsidRDefault="009D4C2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013CF4" w:rsidRDefault="00EC6A4E" w:rsidP="00AF401E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</w:p>
    <w:p w:rsidR="00145453" w:rsidRPr="00013CF4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13CF4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13CF4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13CF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AF401E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9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45453" w:rsidRPr="006D624C" w:rsidRDefault="00AF401E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13CF4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13CF4" w:rsidRDefault="002E4378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13CF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3212173</wp:posOffset>
                </wp:positionH>
                <wp:positionV relativeFrom="paragraph">
                  <wp:posOffset>2259228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BBE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52.95pt;margin-top:177.9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N+J&#10;9pbiAAAACwEAAA8AAABkcnMvZG93bnJldi54bWxMj8tOwzAQRfdI/IM1SGwQdSA4bUOcCiEeEjsa&#10;HmLnxkMSEY+j2E3D3zOsYDkzR3fOLTaz68WEY+g8abhYJCCQam87ajS8VPfnKxAhGrKm94QavjHA&#10;pjw+Kkxu/YGecdrGRnAIhdxoaGMccilD3aIzYeEHJL59+tGZyOPYSDuaA4e7Xl4mSSad6Yg/tGbA&#10;2xbrr+3eafg4a96fwvzwekhVOtw9TtXyzVZan57MN9cgIs7xD4ZffVaHkp12fk82iF6DStSaUQ2p&#10;UtyBCZUtMxA73qzWVyDLQv7vUP4AAAD//wMAUEsBAi0AFAAGAAgAAAAhALaDOJL+AAAA4QEAABMA&#10;AAAAAAAAAAAAAAAAAAAAAFtDb250ZW50X1R5cGVzXS54bWxQSwECLQAUAAYACAAAACEAOP0h/9YA&#10;AACUAQAACwAAAAAAAAAAAAAAAAAvAQAAX3JlbHMvLnJlbHNQSwECLQAUAAYACAAAACEALQZaVUMC&#10;AAB/BAAADgAAAAAAAAAAAAAAAAAuAgAAZHJzL2Uyb0RvYy54bWxQSwECLQAUAAYACAAAACEA34n2&#10;luIAAAALAQAADwAAAAAAAAAAAAAAAACdBAAAZHJzL2Rvd25yZXYueG1sUEsFBgAAAAAEAAQA8wAA&#10;AKwFAAAAAA=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159F" w:rsidRPr="00013CF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1707562</wp:posOffset>
                </wp:positionH>
                <wp:positionV relativeFrom="paragraph">
                  <wp:posOffset>2257255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1" type="#_x0000_t202" style="position:absolute;left:0;text-align:left;margin-left:134.45pt;margin-top:177.7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OEg&#10;pP7iAAAACwEAAA8AAABkcnMvZG93bnJldi54bWxMj01PhDAQhu8m/odmTLwYt+wSkEXKxhg/Em8u&#10;fsRbl45ApFNCu4D/3vGkt5nMk3eet9gtthcTjr5zpGC9ikAg1c501Ch4qe4vMxA+aDK6d4QKvtHD&#10;rjw9KXRu3EzPOO1DIziEfK4VtCEMuZS+btFqv3IDEt8+3Wh14HVspBn1zOG2l5soSqXVHfGHVg94&#10;22L9tT9aBR8XzfuTXx5e5ziJh7vHqbp6M5VS52fLzTWIgEv4g+FXn9WhZKeDO5LxolewSbMtowri&#10;JElAMBHHUQriwEO2XYMsC/m/Q/kD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4SCk&#10;/uIAAAALAQAADwAAAAAAAAAAAAAAAACd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13CF4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013CF4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013CF4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13CF4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13CF4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13CF4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AF401E" w:rsidRPr="00390647" w:rsidRDefault="00AF401E" w:rsidP="00AF401E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390647">
        <w:rPr>
          <w:rFonts w:ascii="Arial Narrow" w:hAnsi="Arial Narrow" w:cs="Tahoma"/>
          <w:sz w:val="16"/>
          <w:szCs w:val="22"/>
        </w:rPr>
        <w:t xml:space="preserve">Graph 4. </w:t>
      </w:r>
      <w:r w:rsidRPr="00390647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45453" w:rsidRPr="00013CF4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13C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13C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0316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30316A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0316A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0316A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0316A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0316A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AF401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390647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0647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</w:t>
            </w:r>
            <w:proofErr w:type="spellEnd"/>
            <w:r w:rsidRPr="00390647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statistics</w:t>
            </w:r>
          </w:p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Biljana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Glušac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</w:p>
          <w:p w:rsidR="00E31BF3" w:rsidRPr="00FE1625" w:rsidRDefault="0053312E" w:rsidP="00271D46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271D46" w:rsidRPr="003906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proofErr w:type="spellStart"/>
            <w:r w:rsidRPr="00390647">
              <w:rPr>
                <w:rFonts w:ascii="Arial Narrow" w:hAnsi="Arial Narrow" w:cs="Tahoma"/>
                <w:sz w:val="18"/>
                <w:szCs w:val="18"/>
              </w:rPr>
              <w:t>Željka</w:t>
            </w:r>
            <w:proofErr w:type="spellEnd"/>
            <w:r w:rsidRPr="0039064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390647">
              <w:rPr>
                <w:rFonts w:ascii="Arial Narrow" w:hAnsi="Arial Narrow" w:cs="Tahoma"/>
                <w:sz w:val="18"/>
                <w:szCs w:val="18"/>
              </w:rPr>
              <w:t>Drašković</w:t>
            </w:r>
            <w:proofErr w:type="spellEnd"/>
          </w:p>
          <w:p w:rsidR="0066022A" w:rsidRPr="00FE1625" w:rsidRDefault="0053312E" w:rsidP="00271D46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271D46" w:rsidRPr="003906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271D46" w:rsidRPr="00390647" w:rsidRDefault="00271D46" w:rsidP="00271D46">
            <w:pPr>
              <w:jc w:val="both"/>
            </w:pPr>
            <w:r w:rsidRPr="00390647">
              <w:rPr>
                <w:rFonts w:ascii="Arial Narrow" w:hAnsi="Arial Narrow" w:cs="Tahoma"/>
                <w:sz w:val="18"/>
                <w:szCs w:val="18"/>
              </w:rPr>
              <w:t xml:space="preserve">Andrea Erak </w:t>
            </w:r>
            <w:proofErr w:type="spellStart"/>
            <w:r w:rsidRPr="00390647">
              <w:rPr>
                <w:rFonts w:ascii="Arial Narrow" w:hAnsi="Arial Narrow" w:cs="Tahoma"/>
                <w:sz w:val="18"/>
                <w:szCs w:val="18"/>
              </w:rPr>
              <w:t>Latinović</w:t>
            </w:r>
            <w:proofErr w:type="spellEnd"/>
            <w:r w:rsidRPr="00390647">
              <w:t xml:space="preserve"> </w:t>
            </w:r>
          </w:p>
          <w:p w:rsidR="000F5C7E" w:rsidRPr="00FE1625" w:rsidRDefault="0053312E" w:rsidP="00271D46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271D46" w:rsidRPr="00390647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271D46" w:rsidRPr="00390647" w:rsidRDefault="00271D46" w:rsidP="00271D46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sz w:val="18"/>
                <w:szCs w:val="18"/>
              </w:rPr>
              <w:t xml:space="preserve">Sanja </w:t>
            </w:r>
            <w:proofErr w:type="spellStart"/>
            <w:r w:rsidRPr="00390647">
              <w:rPr>
                <w:rFonts w:ascii="Arial Narrow" w:hAnsi="Arial Narrow" w:cs="Tahoma"/>
                <w:sz w:val="18"/>
                <w:szCs w:val="18"/>
              </w:rPr>
              <w:t>Stojčević</w:t>
            </w:r>
            <w:proofErr w:type="spellEnd"/>
            <w:r w:rsidRPr="0039064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390647">
              <w:rPr>
                <w:rFonts w:ascii="Arial Narrow" w:hAnsi="Arial Narrow" w:cs="Tahoma"/>
                <w:sz w:val="18"/>
                <w:szCs w:val="18"/>
              </w:rPr>
              <w:t>Uvalić</w:t>
            </w:r>
            <w:proofErr w:type="spellEnd"/>
            <w:r w:rsidRPr="00390647">
              <w:rPr>
                <w:rFonts w:ascii="Arial Narrow" w:hAnsi="Arial Narrow" w:cs="Tahoma"/>
                <w:sz w:val="18"/>
                <w:szCs w:val="18"/>
              </w:rPr>
              <w:t>, MSc</w:t>
            </w:r>
          </w:p>
          <w:p w:rsidR="0066022A" w:rsidRPr="00FE1625" w:rsidRDefault="0053312E" w:rsidP="00271D46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271D46" w:rsidRPr="00390647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  <w:r w:rsidR="00271D46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0207B7">
        <w:trPr>
          <w:trHeight w:val="11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  <w:p w:rsidR="00B25C06" w:rsidRDefault="00B25C06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  <w:p w:rsidR="00B25C06" w:rsidRDefault="00B25C06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  <w:p w:rsidR="00B25C06" w:rsidRDefault="00B25C06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  <w:p w:rsidR="00B25C06" w:rsidRDefault="00B25C06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  <w:p w:rsidR="00B25C06" w:rsidRPr="00FE1625" w:rsidRDefault="00B25C06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0207B7"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</w:p>
        </w:tc>
      </w:tr>
      <w:tr w:rsidR="000207B7" w:rsidRPr="00390647" w:rsidTr="000207B7"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7B7" w:rsidRPr="00390647" w:rsidRDefault="000207B7" w:rsidP="000207B7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0207B7" w:rsidRPr="00390647" w:rsidTr="000207B7">
        <w:trPr>
          <w:trHeight w:val="160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7B7" w:rsidRPr="00390647" w:rsidRDefault="000207B7" w:rsidP="000207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lastRenderedPageBreak/>
              <w:t xml:space="preserve">Darko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Milunović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Director of the Institute, Editor in Chief</w:t>
            </w:r>
          </w:p>
          <w:p w:rsidR="000207B7" w:rsidRPr="00390647" w:rsidRDefault="000207B7" w:rsidP="000207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Ignjić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, Chief of the Department </w:t>
            </w:r>
          </w:p>
          <w:p w:rsidR="000207B7" w:rsidRPr="00390647" w:rsidRDefault="000207B7" w:rsidP="000207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, Banja Luka,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Platona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bb</w:t>
            </w:r>
          </w:p>
          <w:p w:rsidR="000207B7" w:rsidRPr="00390647" w:rsidRDefault="000207B7" w:rsidP="000207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Institute of Statistics</w:t>
            </w:r>
          </w:p>
          <w:p w:rsidR="000207B7" w:rsidRPr="00390647" w:rsidRDefault="000207B7" w:rsidP="000207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0207B7" w:rsidRPr="00390647" w:rsidRDefault="000207B7" w:rsidP="000207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Telephone: +387 51 332 700; E-mail: </w:t>
            </w:r>
            <w:hyperlink r:id="rId18" w:history="1">
              <w:r w:rsidRPr="003906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0207B7" w:rsidRPr="00390647" w:rsidRDefault="000207B7" w:rsidP="000207B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0207B7" w:rsidRPr="00390647" w:rsidRDefault="000207B7" w:rsidP="000207B7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390647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FE1625" w:rsidRDefault="009E2A9A" w:rsidP="009E2A9A">
      <w:pPr>
        <w:rPr>
          <w:rFonts w:ascii="Tahoma" w:hAnsi="Tahoma" w:cs="Tahoma"/>
          <w:color w:val="000000" w:themeColor="text1"/>
          <w:lang w:val="sr-Latn-CS"/>
        </w:rPr>
      </w:pP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3312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6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5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3312E">
                        <w:rPr>
                          <w:rFonts w:ascii="Tahoma" w:hAnsi="Tahoma" w:cs="Tahoma"/>
                          <w:noProof/>
                          <w:color w:val="FFFFFF"/>
                        </w:rPr>
                        <w:t>6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3312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0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4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4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4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3312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C14D3" w:rsidRPr="001E14B4" w:rsidRDefault="000C14D3" w:rsidP="000C14D3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B5870" w:rsidRDefault="000C14D3" w:rsidP="000C14D3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A0F3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013CF4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8A0F3A">
            <w:rPr>
              <w:rFonts w:ascii="Arial Narrow" w:hAnsi="Arial Narrow" w:cs="Tahoma"/>
              <w:color w:val="1F497D"/>
              <w:sz w:val="16"/>
              <w:szCs w:val="16"/>
            </w:rPr>
            <w:t>November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="008A0F3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,</w:t>
          </w:r>
          <w:r w:rsidR="008A0F3A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 </w:t>
          </w:r>
          <w:r w:rsidR="008A0F3A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B3ABA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013CF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74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22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1E1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3CF4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7B7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4D3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752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114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97C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B744C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2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3C6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9B7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D46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563"/>
    <w:rsid w:val="002C3666"/>
    <w:rsid w:val="002C3929"/>
    <w:rsid w:val="002C39F4"/>
    <w:rsid w:val="002C3AB6"/>
    <w:rsid w:val="002C3E82"/>
    <w:rsid w:val="002C4146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78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52"/>
    <w:rsid w:val="0030316A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47EC1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1F5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D2E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71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12E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0DE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C8A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99F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1D1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49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21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A70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0F3A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4E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4E0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C2E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5B9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65DC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47F93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3CF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1E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5C06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6C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3B2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0D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D2C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2BA6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3F22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222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69CBF152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OKTOBAR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2'!$A$1:$B$14</c:f>
              <c:multiLvlStrCache>
                <c:ptCount val="14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'graf 2'!$C$1:$C$14</c:f>
              <c:numCache>
                <c:formatCode>0</c:formatCode>
                <c:ptCount val="14"/>
                <c:pt idx="0">
                  <c:v>1277</c:v>
                </c:pt>
                <c:pt idx="1">
                  <c:v>1290</c:v>
                </c:pt>
                <c:pt idx="2">
                  <c:v>1296</c:v>
                </c:pt>
                <c:pt idx="3">
                  <c:v>1304</c:v>
                </c:pt>
                <c:pt idx="4">
                  <c:v>1312</c:v>
                </c:pt>
                <c:pt idx="5">
                  <c:v>1392</c:v>
                </c:pt>
                <c:pt idx="6">
                  <c:v>1394</c:v>
                </c:pt>
                <c:pt idx="7">
                  <c:v>1400</c:v>
                </c:pt>
                <c:pt idx="8">
                  <c:v>1403</c:v>
                </c:pt>
                <c:pt idx="9">
                  <c:v>1426</c:v>
                </c:pt>
                <c:pt idx="10">
                  <c:v>1416</c:v>
                </c:pt>
                <c:pt idx="11">
                  <c:v>1411</c:v>
                </c:pt>
                <c:pt idx="12">
                  <c:v>1412</c:v>
                </c:pt>
                <c:pt idx="13">
                  <c:v>1420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</c:v>
                </c:pt>
                <c:pt idx="1">
                  <c:v>-0.2</c:v>
                </c:pt>
                <c:pt idx="2">
                  <c:v>-0.3</c:v>
                </c:pt>
                <c:pt idx="3">
                  <c:v>0.3</c:v>
                </c:pt>
                <c:pt idx="4">
                  <c:v>0.5</c:v>
                </c:pt>
                <c:pt idx="5">
                  <c:v>0.4</c:v>
                </c:pt>
                <c:pt idx="6">
                  <c:v>0</c:v>
                </c:pt>
                <c:pt idx="7">
                  <c:v>-0.2</c:v>
                </c:pt>
                <c:pt idx="8">
                  <c:v>-0.5</c:v>
                </c:pt>
                <c:pt idx="9">
                  <c:v>0</c:v>
                </c:pt>
                <c:pt idx="10">
                  <c:v>0.3</c:v>
                </c:pt>
                <c:pt idx="11">
                  <c:v>0.1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3.8</c:v>
                </c:pt>
                <c:pt idx="1">
                  <c:v>3.1</c:v>
                </c:pt>
                <c:pt idx="2">
                  <c:v>3.3</c:v>
                </c:pt>
                <c:pt idx="3">
                  <c:v>3</c:v>
                </c:pt>
                <c:pt idx="4">
                  <c:v>2.8</c:v>
                </c:pt>
                <c:pt idx="5">
                  <c:v>2.7</c:v>
                </c:pt>
                <c:pt idx="6">
                  <c:v>2.5</c:v>
                </c:pt>
                <c:pt idx="7">
                  <c:v>2.2999999999999998</c:v>
                </c:pt>
                <c:pt idx="8">
                  <c:v>1.7</c:v>
                </c:pt>
                <c:pt idx="9">
                  <c:v>1.8</c:v>
                </c:pt>
                <c:pt idx="10">
                  <c:v>1.1000000000000001</c:v>
                </c:pt>
                <c:pt idx="11">
                  <c:v>0.4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  <c:pt idx="15">
                    <c:v>2022</c:v>
                  </c:pt>
                  <c:pt idx="27">
                    <c:v>2023</c:v>
                  </c:pt>
                  <c:pt idx="39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94.479286863106594</c:v>
                </c:pt>
                <c:pt idx="1">
                  <c:v>93.189702067767357</c:v>
                </c:pt>
                <c:pt idx="2">
                  <c:v>95.418575111230467</c:v>
                </c:pt>
                <c:pt idx="3">
                  <c:v>95.591834851591244</c:v>
                </c:pt>
                <c:pt idx="4">
                  <c:v>100.2793071921883</c:v>
                </c:pt>
                <c:pt idx="5">
                  <c:v>97.951653298788557</c:v>
                </c:pt>
                <c:pt idx="6">
                  <c:v>99.40517072932218</c:v>
                </c:pt>
                <c:pt idx="7">
                  <c:v>98.773437006272871</c:v>
                </c:pt>
                <c:pt idx="8">
                  <c:v>101.92708350323004</c:v>
                </c:pt>
                <c:pt idx="9">
                  <c:v>99.945863153107794</c:v>
                </c:pt>
                <c:pt idx="10">
                  <c:v>99.455916268565758</c:v>
                </c:pt>
                <c:pt idx="11">
                  <c:v>101.10130613513736</c:v>
                </c:pt>
                <c:pt idx="12">
                  <c:v>99.858818317921248</c:v>
                </c:pt>
                <c:pt idx="13">
                  <c:v>102.91877481980586</c:v>
                </c:pt>
                <c:pt idx="14">
                  <c:v>102.59620652476242</c:v>
                </c:pt>
                <c:pt idx="15">
                  <c:v>98.537991120390345</c:v>
                </c:pt>
                <c:pt idx="16">
                  <c:v>99.379279122665224</c:v>
                </c:pt>
                <c:pt idx="17">
                  <c:v>101.55536639012585</c:v>
                </c:pt>
                <c:pt idx="18">
                  <c:v>102.71601075559788</c:v>
                </c:pt>
                <c:pt idx="19">
                  <c:v>102.11653294600502</c:v>
                </c:pt>
                <c:pt idx="20">
                  <c:v>101.12165446964003</c:v>
                </c:pt>
                <c:pt idx="21">
                  <c:v>99.075747493043536</c:v>
                </c:pt>
                <c:pt idx="22">
                  <c:v>100.16901727981821</c:v>
                </c:pt>
                <c:pt idx="23">
                  <c:v>97.830244350023321</c:v>
                </c:pt>
                <c:pt idx="24">
                  <c:v>99.183626253500236</c:v>
                </c:pt>
                <c:pt idx="25">
                  <c:v>100.14675415702737</c:v>
                </c:pt>
                <c:pt idx="26">
                  <c:v>98.706204711666345</c:v>
                </c:pt>
                <c:pt idx="27">
                  <c:v>100.33864337311422</c:v>
                </c:pt>
                <c:pt idx="28">
                  <c:v>96.849804377254586</c:v>
                </c:pt>
                <c:pt idx="29">
                  <c:v>99.711178252581689</c:v>
                </c:pt>
                <c:pt idx="30">
                  <c:v>96.887353307115831</c:v>
                </c:pt>
                <c:pt idx="31">
                  <c:v>98.22790701369027</c:v>
                </c:pt>
                <c:pt idx="32">
                  <c:v>96.618632425824373</c:v>
                </c:pt>
                <c:pt idx="33">
                  <c:v>96.375598836157138</c:v>
                </c:pt>
                <c:pt idx="34">
                  <c:v>96.86815052297824</c:v>
                </c:pt>
                <c:pt idx="35">
                  <c:v>97.267077113096136</c:v>
                </c:pt>
                <c:pt idx="36">
                  <c:v>94.345223344524683</c:v>
                </c:pt>
                <c:pt idx="37">
                  <c:v>93.106337012823857</c:v>
                </c:pt>
                <c:pt idx="38">
                  <c:v>94.157703490542772</c:v>
                </c:pt>
                <c:pt idx="39">
                  <c:v>91.792066144768484</c:v>
                </c:pt>
                <c:pt idx="40">
                  <c:v>94.087167085848421</c:v>
                </c:pt>
                <c:pt idx="41">
                  <c:v>91.898442682971705</c:v>
                </c:pt>
                <c:pt idx="42">
                  <c:v>91.932961132541465</c:v>
                </c:pt>
                <c:pt idx="43">
                  <c:v>90.752079020962583</c:v>
                </c:pt>
                <c:pt idx="44">
                  <c:v>91.001306733813323</c:v>
                </c:pt>
                <c:pt idx="45">
                  <c:v>92.769225766804254</c:v>
                </c:pt>
                <c:pt idx="46">
                  <c:v>90.544255530483426</c:v>
                </c:pt>
                <c:pt idx="47">
                  <c:v>91.206685332900619</c:v>
                </c:pt>
                <c:pt idx="48">
                  <c:v>93.884371617320511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DE-4496-8D04-03A3FAF398BF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  <c:pt idx="15">
                    <c:v>2022</c:v>
                  </c:pt>
                  <c:pt idx="27">
                    <c:v>2023</c:v>
                  </c:pt>
                  <c:pt idx="39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93.304508876550557</c:v>
                </c:pt>
                <c:pt idx="1">
                  <c:v>94.223570283481422</c:v>
                </c:pt>
                <c:pt idx="2">
                  <c:v>95.206303814504537</c:v>
                </c:pt>
                <c:pt idx="3">
                  <c:v>96.249049134529102</c:v>
                </c:pt>
                <c:pt idx="4">
                  <c:v>97.237234917690401</c:v>
                </c:pt>
                <c:pt idx="5">
                  <c:v>98.050238415729709</c:v>
                </c:pt>
                <c:pt idx="6">
                  <c:v>98.721997513582906</c:v>
                </c:pt>
                <c:pt idx="7">
                  <c:v>99.323907143075914</c:v>
                </c:pt>
                <c:pt idx="8">
                  <c:v>99.821936700658711</c:v>
                </c:pt>
                <c:pt idx="9">
                  <c:v>100.16160153563231</c:v>
                </c:pt>
                <c:pt idx="10">
                  <c:v>100.42252871995484</c:v>
                </c:pt>
                <c:pt idx="11">
                  <c:v>100.67823931104728</c:v>
                </c:pt>
                <c:pt idx="12">
                  <c:v>100.91397177889547</c:v>
                </c:pt>
                <c:pt idx="13">
                  <c:v>101.09146374272872</c:v>
                </c:pt>
                <c:pt idx="14">
                  <c:v>101.09666793705519</c:v>
                </c:pt>
                <c:pt idx="15">
                  <c:v>100.98592851671945</c:v>
                </c:pt>
                <c:pt idx="16">
                  <c:v>100.98216783599503</c:v>
                </c:pt>
                <c:pt idx="17">
                  <c:v>101.09192399962429</c:v>
                </c:pt>
                <c:pt idx="18">
                  <c:v>101.13216937193793</c:v>
                </c:pt>
                <c:pt idx="19">
                  <c:v>100.98683516916354</c:v>
                </c:pt>
                <c:pt idx="20">
                  <c:v>100.67249697925691</c:v>
                </c:pt>
                <c:pt idx="21">
                  <c:v>100.29993529110843</c:v>
                </c:pt>
                <c:pt idx="22">
                  <c:v>99.954791232861794</c:v>
                </c:pt>
                <c:pt idx="23">
                  <c:v>99.669769115786707</c:v>
                </c:pt>
                <c:pt idx="24">
                  <c:v>99.481013799347721</c:v>
                </c:pt>
                <c:pt idx="25">
                  <c:v>99.32341276745818</c:v>
                </c:pt>
                <c:pt idx="26">
                  <c:v>99.118464878223463</c:v>
                </c:pt>
                <c:pt idx="27">
                  <c:v>98.84729998080104</c:v>
                </c:pt>
                <c:pt idx="28">
                  <c:v>98.527419090974647</c:v>
                </c:pt>
                <c:pt idx="29">
                  <c:v>98.195698473623082</c:v>
                </c:pt>
                <c:pt idx="30">
                  <c:v>97.830298758951272</c:v>
                </c:pt>
                <c:pt idx="31">
                  <c:v>97.431480990235926</c:v>
                </c:pt>
                <c:pt idx="32">
                  <c:v>97.005298777799865</c:v>
                </c:pt>
                <c:pt idx="33">
                  <c:v>96.566412324246912</c:v>
                </c:pt>
                <c:pt idx="34">
                  <c:v>96.112057220325966</c:v>
                </c:pt>
                <c:pt idx="35">
                  <c:v>95.557603821572329</c:v>
                </c:pt>
                <c:pt idx="36">
                  <c:v>94.895166284245136</c:v>
                </c:pt>
                <c:pt idx="37">
                  <c:v>94.258173384352048</c:v>
                </c:pt>
                <c:pt idx="38">
                  <c:v>93.71048429801246</c:v>
                </c:pt>
                <c:pt idx="39">
                  <c:v>93.239185979011552</c:v>
                </c:pt>
                <c:pt idx="40">
                  <c:v>92.834215190092706</c:v>
                </c:pt>
                <c:pt idx="41">
                  <c:v>92.44932285024818</c:v>
                </c:pt>
                <c:pt idx="42">
                  <c:v>92.10328658444314</c:v>
                </c:pt>
                <c:pt idx="43">
                  <c:v>91.856392467880696</c:v>
                </c:pt>
                <c:pt idx="44">
                  <c:v>91.741537937991552</c:v>
                </c:pt>
                <c:pt idx="45">
                  <c:v>91.708446392856132</c:v>
                </c:pt>
                <c:pt idx="46">
                  <c:v>91.700423265600335</c:v>
                </c:pt>
                <c:pt idx="47">
                  <c:v>91.770151140235313</c:v>
                </c:pt>
                <c:pt idx="48">
                  <c:v>91.864513618900105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DE-4496-8D04-03A3FAF39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'Okt_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'Okt_ 2024'!$B$1:$N$1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'Okt_ 2024'!$B$2:$N$2</c:f>
              <c:numCache>
                <c:formatCode>0</c:formatCode>
                <c:ptCount val="13"/>
                <c:pt idx="0">
                  <c:v>600367</c:v>
                </c:pt>
                <c:pt idx="1">
                  <c:v>599184</c:v>
                </c:pt>
                <c:pt idx="2">
                  <c:v>610942</c:v>
                </c:pt>
                <c:pt idx="3">
                  <c:v>436764</c:v>
                </c:pt>
                <c:pt idx="4">
                  <c:v>587173</c:v>
                </c:pt>
                <c:pt idx="5">
                  <c:v>660166</c:v>
                </c:pt>
                <c:pt idx="6">
                  <c:v>655956</c:v>
                </c:pt>
                <c:pt idx="7">
                  <c:v>574961</c:v>
                </c:pt>
                <c:pt idx="8">
                  <c:v>636600</c:v>
                </c:pt>
                <c:pt idx="9">
                  <c:v>665445</c:v>
                </c:pt>
                <c:pt idx="10">
                  <c:v>592902</c:v>
                </c:pt>
                <c:pt idx="11">
                  <c:v>626394</c:v>
                </c:pt>
                <c:pt idx="12">
                  <c:v>664343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'Okt_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'Okt_ 2024'!$B$1:$N$1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'Okt_ 2024'!$B$3:$N$3</c:f>
              <c:numCache>
                <c:formatCode>0</c:formatCode>
                <c:ptCount val="13"/>
                <c:pt idx="0">
                  <c:v>441048</c:v>
                </c:pt>
                <c:pt idx="1">
                  <c:v>444027</c:v>
                </c:pt>
                <c:pt idx="2">
                  <c:v>384160</c:v>
                </c:pt>
                <c:pt idx="3">
                  <c:v>349962</c:v>
                </c:pt>
                <c:pt idx="4">
                  <c:v>407403</c:v>
                </c:pt>
                <c:pt idx="5">
                  <c:v>425286</c:v>
                </c:pt>
                <c:pt idx="6">
                  <c:v>470967</c:v>
                </c:pt>
                <c:pt idx="7">
                  <c:v>385484</c:v>
                </c:pt>
                <c:pt idx="8">
                  <c:v>411949</c:v>
                </c:pt>
                <c:pt idx="9">
                  <c:v>442434</c:v>
                </c:pt>
                <c:pt idx="10">
                  <c:v>352624</c:v>
                </c:pt>
                <c:pt idx="11">
                  <c:v>452642</c:v>
                </c:pt>
                <c:pt idx="12">
                  <c:v>471653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292F-BDA2-42C8-9F54-7A0093A8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6</Pages>
  <Words>1123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7877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185</cp:revision>
  <cp:lastPrinted>2020-06-17T08:46:00Z</cp:lastPrinted>
  <dcterms:created xsi:type="dcterms:W3CDTF">2024-03-21T06:55:00Z</dcterms:created>
  <dcterms:modified xsi:type="dcterms:W3CDTF">2024-11-22T11:12:00Z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