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1A667F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1A667F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A667F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1A667F">
              <w:rPr>
                <w:rFonts w:ascii="Tahoma" w:hAnsi="Tahoma" w:cs="Tahoma"/>
                <w:color w:val="000000" w:themeColor="text1"/>
              </w:rPr>
              <w:br w:type="column"/>
            </w:r>
            <w:r w:rsidRPr="001A667F">
              <w:rPr>
                <w:rFonts w:ascii="Tahoma" w:hAnsi="Tahoma" w:cs="Tahoma"/>
                <w:color w:val="000000" w:themeColor="text1"/>
              </w:rPr>
              <w:br w:type="column"/>
            </w:r>
            <w:r w:rsidRPr="001A667F">
              <w:rPr>
                <w:rFonts w:ascii="Tahoma" w:hAnsi="Tahoma" w:cs="Tahoma"/>
                <w:color w:val="000000" w:themeColor="text1"/>
              </w:rPr>
              <w:br w:type="page"/>
            </w:r>
            <w:r w:rsidRPr="001A667F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1A667F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A667F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A667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1A667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1A667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1A667F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1A667F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1A667F" w:rsidRDefault="004551B9" w:rsidP="00C9325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1A667F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="009062FA" w:rsidRPr="001A667F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1A667F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1A667F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="00431915" w:rsidRPr="001A667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 w:rsidRPr="001A667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9325A" w:rsidRPr="001A667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April </w:t>
            </w:r>
            <w:r w:rsidR="00431915" w:rsidRPr="001A667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1A667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311140" w:rsidRPr="001A667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4</w:t>
            </w:r>
            <w:r w:rsidR="00C9325A" w:rsidRPr="001A667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F407BE" w:rsidRPr="001A667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311140" w:rsidRPr="001A667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122</w:t>
            </w:r>
            <w:r w:rsidR="00431915" w:rsidRPr="001A667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1A667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6290E" w:rsidRPr="001A667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4</w:t>
            </w:r>
            <w:r w:rsidR="00F6075A" w:rsidRPr="001A667F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E1625" w:rsidRPr="001A667F" w:rsidTr="005074F6">
        <w:trPr>
          <w:cantSplit/>
        </w:trPr>
        <w:tc>
          <w:tcPr>
            <w:tcW w:w="5251" w:type="dxa"/>
            <w:vAlign w:val="center"/>
          </w:tcPr>
          <w:p w:rsidR="005D5311" w:rsidRPr="001A667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A667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1A667F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1A667F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A667F" w:rsidRDefault="00C9325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1A667F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1A667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1A667F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1A667F" w:rsidRDefault="00C9325A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1A667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April</w:t>
            </w:r>
            <w:r w:rsidR="00353834" w:rsidRPr="001A667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1A667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6B34E9" w:rsidRPr="001A667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</w:p>
        </w:tc>
      </w:tr>
    </w:tbl>
    <w:p w:rsidR="000F689B" w:rsidRPr="001A667F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1A667F" w:rsidRDefault="00203C97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March</w:t>
      </w:r>
      <w:r w:rsidR="004D737B"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>,3</w:t>
      </w:r>
      <w:r w:rsidR="00895DA9"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F97627"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E33D13" w:rsidRPr="001A667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1A667F" w:rsidRDefault="00203C97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1A667F">
        <w:rPr>
          <w:rFonts w:ascii="Arial Narrow" w:hAnsi="Arial Narrow" w:cs="Tahoma"/>
          <w:b/>
          <w:sz w:val="28"/>
          <w:szCs w:val="22"/>
        </w:rPr>
        <w:t>Annual real wage growth 7.</w:t>
      </w:r>
      <w:r w:rsidR="004841F2" w:rsidRPr="001A667F">
        <w:rPr>
          <w:rFonts w:ascii="Arial Narrow" w:hAnsi="Arial Narrow" w:cs="Tahoma"/>
          <w:b/>
          <w:sz w:val="28"/>
          <w:szCs w:val="22"/>
        </w:rPr>
        <w:t>9%</w:t>
      </w:r>
    </w:p>
    <w:p w:rsidR="00E33D13" w:rsidRPr="001A667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1A667F">
        <w:rPr>
          <w:rFonts w:ascii="Tahoma" w:hAnsi="Tahoma" w:cs="Tahoma"/>
          <w:b/>
          <w:sz w:val="24"/>
        </w:rPr>
        <w:tab/>
      </w:r>
      <w:r w:rsidRPr="001A667F">
        <w:rPr>
          <w:rFonts w:ascii="Tahoma" w:hAnsi="Tahoma" w:cs="Tahoma"/>
          <w:b/>
          <w:sz w:val="24"/>
        </w:rPr>
        <w:tab/>
      </w:r>
    </w:p>
    <w:p w:rsidR="00203C97" w:rsidRPr="001A667F" w:rsidRDefault="00203C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Average monthly net wage in Republika Srpska paid in </w:t>
      </w:r>
      <w:r w:rsidRPr="001A667F">
        <w:rPr>
          <w:rFonts w:ascii="Arial Narrow" w:hAnsi="Arial Narrow" w:cs="Tahoma"/>
          <w:sz w:val="22"/>
        </w:rPr>
        <w:t>March 2024 amounted to 1,394</w:t>
      </w:r>
      <w:r w:rsidRPr="001A667F">
        <w:rPr>
          <w:rFonts w:ascii="Arial Narrow" w:hAnsi="Arial Narrow" w:cs="Tahoma"/>
          <w:sz w:val="22"/>
        </w:rPr>
        <w:t xml:space="preserve"> KM, and it was nominally </w:t>
      </w:r>
      <w:r w:rsidRPr="001A667F">
        <w:rPr>
          <w:rFonts w:ascii="Arial Narrow" w:hAnsi="Arial Narrow" w:cs="Tahoma"/>
          <w:sz w:val="22"/>
        </w:rPr>
        <w:t>0</w:t>
      </w:r>
      <w:r w:rsidRPr="001A667F">
        <w:rPr>
          <w:rFonts w:ascii="Arial Narrow" w:hAnsi="Arial Narrow" w:cs="Tahoma"/>
          <w:sz w:val="22"/>
        </w:rPr>
        <w:t xml:space="preserve">.1% higher </w:t>
      </w:r>
      <w:r w:rsidRPr="001A667F">
        <w:rPr>
          <w:rFonts w:ascii="Arial Narrow" w:hAnsi="Arial Narrow" w:cs="Tahoma"/>
          <w:sz w:val="22"/>
        </w:rPr>
        <w:t>compared to February</w:t>
      </w:r>
      <w:r w:rsidRPr="001A667F">
        <w:rPr>
          <w:rFonts w:ascii="Arial Narrow" w:hAnsi="Arial Narrow" w:cs="Tahoma"/>
          <w:sz w:val="22"/>
        </w:rPr>
        <w:t xml:space="preserve"> 2024</w:t>
      </w:r>
      <w:r w:rsidRPr="001A667F">
        <w:rPr>
          <w:rFonts w:ascii="Arial Narrow" w:hAnsi="Arial Narrow" w:cs="Tahoma"/>
          <w:sz w:val="22"/>
        </w:rPr>
        <w:t>, while it was 0.3% lower compared to the same period</w:t>
      </w:r>
      <w:r w:rsidRPr="001A667F">
        <w:rPr>
          <w:rFonts w:ascii="Arial Narrow" w:hAnsi="Arial Narrow" w:cs="Tahoma"/>
          <w:sz w:val="22"/>
        </w:rPr>
        <w:t>. Compared to the same month of the previous year, it was nominally 10.8% higher and re</w:t>
      </w:r>
      <w:r w:rsidRPr="001A667F">
        <w:rPr>
          <w:rFonts w:ascii="Arial Narrow" w:hAnsi="Arial Narrow" w:cs="Tahoma"/>
          <w:sz w:val="22"/>
        </w:rPr>
        <w:t>ally 7.9</w:t>
      </w:r>
      <w:r w:rsidRPr="001A667F">
        <w:rPr>
          <w:rFonts w:ascii="Arial Narrow" w:hAnsi="Arial Narrow" w:cs="Tahoma"/>
          <w:sz w:val="22"/>
        </w:rPr>
        <w:t>% higher. Average mont</w:t>
      </w:r>
      <w:r w:rsidRPr="001A667F">
        <w:rPr>
          <w:rFonts w:ascii="Arial Narrow" w:hAnsi="Arial Narrow" w:cs="Tahoma"/>
          <w:sz w:val="22"/>
        </w:rPr>
        <w:t>hly gross wage amounted to 2,130</w:t>
      </w:r>
      <w:r w:rsidRPr="001A667F">
        <w:rPr>
          <w:rFonts w:ascii="Arial Narrow" w:hAnsi="Arial Narrow" w:cs="Tahoma"/>
          <w:sz w:val="22"/>
        </w:rPr>
        <w:t xml:space="preserve"> KM</w:t>
      </w:r>
    </w:p>
    <w:p w:rsidR="003B028E" w:rsidRPr="001A667F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03C97" w:rsidRPr="001A667F" w:rsidRDefault="00203C97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In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the highest average net wage, by section of economic activities, was paid in the section </w:t>
      </w:r>
      <w:r w:rsidRPr="001A667F">
        <w:rPr>
          <w:rFonts w:ascii="Arial Narrow" w:hAnsi="Arial Narrow" w:cs="Tahoma"/>
          <w:i/>
          <w:sz w:val="22"/>
        </w:rPr>
        <w:t xml:space="preserve">Financial and insurance activities </w:t>
      </w:r>
      <w:r w:rsidRPr="001A667F">
        <w:rPr>
          <w:rFonts w:ascii="Arial Narrow" w:hAnsi="Arial Narrow" w:cs="Tahoma"/>
          <w:sz w:val="22"/>
        </w:rPr>
        <w:t>and it amounted to 1,</w:t>
      </w:r>
      <w:r w:rsidRPr="001A667F">
        <w:rPr>
          <w:rFonts w:ascii="Arial Narrow" w:hAnsi="Arial Narrow" w:cs="Tahoma"/>
          <w:sz w:val="22"/>
        </w:rPr>
        <w:t>855</w:t>
      </w:r>
      <w:r w:rsidRPr="001A667F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 was the one paid in the section </w:t>
      </w:r>
      <w:r w:rsidRPr="001A667F">
        <w:rPr>
          <w:rFonts w:ascii="Arial Narrow" w:hAnsi="Arial Narrow" w:cs="Tahoma"/>
          <w:i/>
          <w:sz w:val="22"/>
        </w:rPr>
        <w:t>Construction</w:t>
      </w:r>
      <w:r w:rsidRPr="001A667F">
        <w:rPr>
          <w:rFonts w:ascii="Arial Narrow" w:hAnsi="Arial Narrow" w:cs="Tahoma"/>
          <w:sz w:val="22"/>
        </w:rPr>
        <w:t xml:space="preserve">, </w:t>
      </w:r>
      <w:r w:rsidRPr="001A667F">
        <w:rPr>
          <w:rFonts w:ascii="Arial Narrow" w:hAnsi="Arial Narrow" w:cs="Tahoma"/>
          <w:sz w:val="22"/>
        </w:rPr>
        <w:t>1,097</w:t>
      </w:r>
      <w:r w:rsidRPr="001A667F">
        <w:rPr>
          <w:rFonts w:ascii="Arial Narrow" w:hAnsi="Arial Narrow" w:cs="Tahoma"/>
          <w:sz w:val="22"/>
        </w:rPr>
        <w:t xml:space="preserve"> KM</w:t>
      </w:r>
    </w:p>
    <w:p w:rsidR="00E33D13" w:rsidRPr="001A667F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203C97" w:rsidRPr="001A667F" w:rsidRDefault="00203C97" w:rsidP="00203C97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In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compared to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2023, a nominal increase in net wages was recorded in all sections of economic activity, with the highest increase being recorded in the section </w:t>
      </w:r>
      <w:r w:rsidRPr="001A667F">
        <w:rPr>
          <w:rFonts w:ascii="Arial Narrow" w:hAnsi="Arial Narrow" w:cs="Tahoma"/>
          <w:i/>
          <w:sz w:val="22"/>
        </w:rPr>
        <w:t xml:space="preserve">Wholesale and retail trade; repair of motor vehicles and motorcycles </w:t>
      </w:r>
      <w:r w:rsidRPr="001A667F">
        <w:rPr>
          <w:rFonts w:ascii="Arial Narrow" w:hAnsi="Arial Narrow" w:cs="Tahoma"/>
          <w:sz w:val="22"/>
        </w:rPr>
        <w:t>21.9</w:t>
      </w:r>
      <w:r w:rsidRPr="001A667F">
        <w:rPr>
          <w:rFonts w:ascii="Arial Narrow" w:hAnsi="Arial Narrow" w:cs="Tahoma"/>
          <w:sz w:val="22"/>
        </w:rPr>
        <w:t xml:space="preserve">%, followed by </w:t>
      </w:r>
      <w:r w:rsidRPr="001A667F">
        <w:rPr>
          <w:rFonts w:ascii="Arial Narrow" w:hAnsi="Arial Narrow" w:cs="Tahoma"/>
          <w:i/>
          <w:sz w:val="22"/>
        </w:rPr>
        <w:t>Professional, scientific and technical activities</w:t>
      </w:r>
      <w:r w:rsidRPr="001A667F">
        <w:rPr>
          <w:rFonts w:ascii="Arial Narrow" w:hAnsi="Arial Narrow" w:cs="Tahoma"/>
          <w:sz w:val="22"/>
        </w:rPr>
        <w:t xml:space="preserve"> 20.9</w:t>
      </w:r>
      <w:r w:rsidRPr="001A667F">
        <w:rPr>
          <w:rFonts w:ascii="Arial Narrow" w:hAnsi="Arial Narrow" w:cs="Tahoma"/>
          <w:sz w:val="22"/>
        </w:rPr>
        <w:t xml:space="preserve">% and </w:t>
      </w:r>
      <w:r w:rsidRPr="001A667F">
        <w:rPr>
          <w:rFonts w:ascii="Arial Narrow" w:hAnsi="Arial Narrow" w:cs="Tahoma"/>
          <w:i/>
          <w:sz w:val="22"/>
        </w:rPr>
        <w:t xml:space="preserve">Water supply; sewerage, waste management and remediation activities </w:t>
      </w:r>
      <w:r w:rsidRPr="001A667F">
        <w:rPr>
          <w:rFonts w:ascii="Arial Narrow" w:hAnsi="Arial Narrow" w:cs="Tahoma"/>
          <w:sz w:val="22"/>
        </w:rPr>
        <w:t>1</w:t>
      </w:r>
      <w:r w:rsidRPr="001A667F">
        <w:rPr>
          <w:rFonts w:ascii="Arial Narrow" w:hAnsi="Arial Narrow" w:cs="Tahoma"/>
          <w:sz w:val="22"/>
        </w:rPr>
        <w:t>8</w:t>
      </w:r>
      <w:r w:rsidRPr="001A667F">
        <w:rPr>
          <w:rFonts w:ascii="Arial Narrow" w:hAnsi="Arial Narrow" w:cs="Tahoma"/>
          <w:sz w:val="22"/>
        </w:rPr>
        <w:t>.7%</w:t>
      </w:r>
    </w:p>
    <w:p w:rsidR="00374B48" w:rsidRPr="001A667F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1A667F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1A667F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1A667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Tahoma" w:hAnsi="Tahoma" w:cs="Tahoma"/>
          <w:i/>
          <w:sz w:val="14"/>
        </w:rPr>
        <w:t xml:space="preserve"> </w:t>
      </w:r>
      <w:r w:rsidRPr="001A667F">
        <w:rPr>
          <w:rFonts w:ascii="Tahoma" w:hAnsi="Tahoma" w:cs="Tahoma"/>
          <w:sz w:val="14"/>
        </w:rPr>
        <w:t xml:space="preserve">   </w:t>
      </w:r>
      <w:r w:rsidRPr="001A667F">
        <w:rPr>
          <w:rFonts w:ascii="Tahoma" w:hAnsi="Tahoma" w:cs="Tahoma"/>
          <w:sz w:val="14"/>
        </w:rPr>
        <w:tab/>
      </w:r>
      <w:r w:rsidRPr="001A667F">
        <w:rPr>
          <w:rFonts w:ascii="Tahoma" w:hAnsi="Tahoma" w:cs="Tahoma"/>
          <w:sz w:val="14"/>
        </w:rPr>
        <w:tab/>
        <w:t xml:space="preserve">            </w:t>
      </w:r>
      <w:r w:rsidR="00F85AAC" w:rsidRPr="001A667F">
        <w:rPr>
          <w:rFonts w:ascii="Tahoma" w:hAnsi="Tahoma" w:cs="Tahoma"/>
          <w:sz w:val="14"/>
        </w:rPr>
        <w:t xml:space="preserve">  </w:t>
      </w:r>
      <w:r w:rsidR="0062701E" w:rsidRPr="001A667F">
        <w:rPr>
          <w:rFonts w:ascii="Tahoma" w:hAnsi="Tahoma" w:cs="Tahoma"/>
          <w:sz w:val="14"/>
        </w:rPr>
        <w:t xml:space="preserve"> </w:t>
      </w:r>
      <w:r w:rsidR="00F85AAC" w:rsidRPr="001A667F">
        <w:rPr>
          <w:rFonts w:ascii="Tahoma" w:hAnsi="Tahoma" w:cs="Tahoma"/>
          <w:sz w:val="14"/>
        </w:rPr>
        <w:t xml:space="preserve"> </w:t>
      </w:r>
      <w:r w:rsidR="00DE7AB2" w:rsidRPr="001A667F">
        <w:rPr>
          <w:rFonts w:ascii="Arial Narrow" w:hAnsi="Arial Narrow" w:cs="Tahoma"/>
          <w:sz w:val="16"/>
          <w:szCs w:val="22"/>
        </w:rPr>
        <w:t>KM</w:t>
      </w:r>
    </w:p>
    <w:p w:rsidR="00E33D13" w:rsidRPr="001A667F" w:rsidRDefault="00425891" w:rsidP="00E33D13">
      <w:pPr>
        <w:jc w:val="center"/>
        <w:rPr>
          <w:rFonts w:ascii="Tahoma" w:hAnsi="Tahoma" w:cs="Tahoma"/>
        </w:rPr>
      </w:pPr>
      <w:r w:rsidRPr="001A667F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1A667F">
        <w:rPr>
          <w:noProof/>
        </w:rPr>
        <w:t xml:space="preserve"> </w:t>
      </w:r>
      <w:r w:rsidR="00E33D13" w:rsidRPr="001A667F">
        <w:rPr>
          <w:rFonts w:ascii="Tahoma" w:hAnsi="Tahoma" w:cs="Tahoma"/>
          <w:szCs w:val="18"/>
        </w:rPr>
        <w:t xml:space="preserve"> </w:t>
      </w:r>
      <w:r w:rsidR="00895DA9" w:rsidRPr="001A667F">
        <w:rPr>
          <w:noProof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A667F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1A667F" w:rsidRDefault="00203C97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1A667F">
        <w:rPr>
          <w:rFonts w:ascii="Arial Narrow" w:hAnsi="Arial Narrow" w:cs="Tahoma"/>
          <w:sz w:val="16"/>
          <w:szCs w:val="22"/>
        </w:rPr>
        <w:t>Graph</w:t>
      </w:r>
      <w:r w:rsidR="00E33D13" w:rsidRPr="001A667F">
        <w:rPr>
          <w:rFonts w:ascii="Arial Narrow" w:hAnsi="Arial Narrow" w:cs="Tahoma"/>
          <w:sz w:val="16"/>
          <w:szCs w:val="22"/>
        </w:rPr>
        <w:t xml:space="preserve"> </w:t>
      </w:r>
      <w:r w:rsidR="0066022A" w:rsidRPr="001A667F">
        <w:rPr>
          <w:rFonts w:ascii="Arial Narrow" w:hAnsi="Arial Narrow" w:cs="Tahoma"/>
          <w:sz w:val="16"/>
          <w:szCs w:val="22"/>
        </w:rPr>
        <w:t>1</w:t>
      </w:r>
      <w:r w:rsidR="00E33D13" w:rsidRPr="001A667F">
        <w:rPr>
          <w:rFonts w:ascii="Arial Narrow" w:hAnsi="Arial Narrow" w:cs="Tahoma"/>
          <w:sz w:val="16"/>
          <w:szCs w:val="22"/>
        </w:rPr>
        <w:t xml:space="preserve">. </w:t>
      </w:r>
      <w:r w:rsidRPr="001A667F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1A667F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1A667F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4F1F2A" w:rsidRPr="001A667F" w:rsidRDefault="004F1F2A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1A667F" w:rsidRDefault="00203C97" w:rsidP="00B50951">
      <w:pPr>
        <w:rPr>
          <w:rFonts w:ascii="Arial Narrow" w:hAnsi="Arial Narrow" w:cs="Tahoma"/>
          <w:sz w:val="28"/>
          <w:szCs w:val="24"/>
        </w:rPr>
      </w:pPr>
      <w:r w:rsidRPr="001A667F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1A667F">
        <w:rPr>
          <w:rFonts w:ascii="Arial Narrow" w:hAnsi="Arial Narrow" w:cs="Tahoma"/>
          <w:b/>
          <w:sz w:val="28"/>
          <w:szCs w:val="24"/>
        </w:rPr>
        <w:t xml:space="preserve"> </w:t>
      </w:r>
      <w:r w:rsidRPr="001A667F">
        <w:rPr>
          <w:rFonts w:ascii="Arial Narrow" w:hAnsi="Arial Narrow" w:cs="Tahoma"/>
          <w:b/>
          <w:sz w:val="28"/>
          <w:szCs w:val="24"/>
        </w:rPr>
        <w:t>0.</w:t>
      </w:r>
      <w:r w:rsidR="006760F5" w:rsidRPr="001A667F">
        <w:rPr>
          <w:rFonts w:ascii="Arial Narrow" w:hAnsi="Arial Narrow" w:cs="Tahoma"/>
          <w:b/>
          <w:sz w:val="28"/>
          <w:szCs w:val="24"/>
        </w:rPr>
        <w:t>4</w:t>
      </w:r>
      <w:r w:rsidR="00B50951" w:rsidRPr="001A667F">
        <w:rPr>
          <w:rFonts w:ascii="Arial Narrow" w:hAnsi="Arial Narrow" w:cs="Tahoma"/>
          <w:b/>
          <w:sz w:val="28"/>
          <w:szCs w:val="24"/>
        </w:rPr>
        <w:t>%</w:t>
      </w:r>
      <w:r w:rsidRPr="001A667F">
        <w:rPr>
          <w:rFonts w:ascii="Arial Narrow" w:hAnsi="Arial Narrow" w:cs="Tahoma"/>
          <w:b/>
          <w:sz w:val="28"/>
          <w:szCs w:val="24"/>
        </w:rPr>
        <w:t xml:space="preserve"> in March 2024</w:t>
      </w:r>
    </w:p>
    <w:p w:rsidR="00B50951" w:rsidRPr="001A667F" w:rsidRDefault="00203C97" w:rsidP="00B50951">
      <w:pPr>
        <w:rPr>
          <w:rFonts w:ascii="Arial Narrow" w:hAnsi="Arial Narrow" w:cs="Tahoma"/>
          <w:b/>
          <w:sz w:val="28"/>
          <w:szCs w:val="24"/>
        </w:rPr>
      </w:pPr>
      <w:r w:rsidRPr="001A667F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1A667F">
        <w:rPr>
          <w:rFonts w:ascii="Arial Narrow" w:hAnsi="Arial Narrow" w:cs="Tahoma"/>
          <w:b/>
          <w:sz w:val="28"/>
          <w:szCs w:val="24"/>
        </w:rPr>
        <w:t xml:space="preserve"> (</w:t>
      </w:r>
      <w:r w:rsidRPr="001A667F">
        <w:rPr>
          <w:rFonts w:ascii="Arial Narrow" w:hAnsi="Arial Narrow" w:cs="Tahoma"/>
          <w:b/>
          <w:sz w:val="28"/>
          <w:szCs w:val="24"/>
        </w:rPr>
        <w:t>March</w:t>
      </w:r>
      <w:r w:rsidR="003A5D60" w:rsidRPr="001A667F">
        <w:rPr>
          <w:rFonts w:ascii="Arial Narrow" w:hAnsi="Arial Narrow" w:cs="Tahoma"/>
          <w:b/>
          <w:sz w:val="28"/>
          <w:szCs w:val="24"/>
        </w:rPr>
        <w:t xml:space="preserve"> 2024</w:t>
      </w:r>
      <w:r w:rsidR="00B50951" w:rsidRPr="001A667F">
        <w:rPr>
          <w:rFonts w:ascii="Arial Narrow" w:hAnsi="Arial Narrow" w:cs="Tahoma"/>
          <w:b/>
          <w:sz w:val="28"/>
          <w:szCs w:val="24"/>
        </w:rPr>
        <w:t>/</w:t>
      </w:r>
      <w:r w:rsidRPr="001A667F">
        <w:rPr>
          <w:rFonts w:ascii="Arial Narrow" w:hAnsi="Arial Narrow" w:cs="Tahoma"/>
          <w:b/>
          <w:sz w:val="28"/>
          <w:szCs w:val="24"/>
        </w:rPr>
        <w:t>March</w:t>
      </w:r>
      <w:r w:rsidR="003A5D60" w:rsidRPr="001A667F">
        <w:rPr>
          <w:rFonts w:ascii="Arial Narrow" w:hAnsi="Arial Narrow" w:cs="Tahoma"/>
          <w:b/>
          <w:sz w:val="28"/>
          <w:szCs w:val="24"/>
        </w:rPr>
        <w:t xml:space="preserve"> 2023</w:t>
      </w:r>
      <w:r w:rsidR="00C679AA" w:rsidRPr="001A667F">
        <w:rPr>
          <w:rFonts w:ascii="Arial Narrow" w:hAnsi="Arial Narrow" w:cs="Tahoma"/>
          <w:b/>
          <w:sz w:val="28"/>
          <w:szCs w:val="24"/>
        </w:rPr>
        <w:t xml:space="preserve">) </w:t>
      </w:r>
      <w:r w:rsidR="00A57787" w:rsidRPr="001A667F">
        <w:rPr>
          <w:rFonts w:ascii="Arial Narrow" w:hAnsi="Arial Narrow" w:cs="Tahoma"/>
          <w:b/>
          <w:sz w:val="28"/>
          <w:szCs w:val="24"/>
        </w:rPr>
        <w:t>2</w:t>
      </w:r>
      <w:r w:rsidRPr="001A667F">
        <w:rPr>
          <w:rFonts w:ascii="Arial Narrow" w:hAnsi="Arial Narrow" w:cs="Tahoma"/>
          <w:b/>
          <w:sz w:val="28"/>
          <w:szCs w:val="24"/>
        </w:rPr>
        <w:t>.</w:t>
      </w:r>
      <w:r w:rsidR="006760F5" w:rsidRPr="001A667F">
        <w:rPr>
          <w:rFonts w:ascii="Arial Narrow" w:hAnsi="Arial Narrow" w:cs="Tahoma"/>
          <w:b/>
          <w:sz w:val="28"/>
          <w:szCs w:val="24"/>
        </w:rPr>
        <w:t>7</w:t>
      </w:r>
      <w:r w:rsidR="00B50951" w:rsidRPr="001A667F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1A667F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14663A" w:rsidRPr="001A667F" w:rsidRDefault="0014663A" w:rsidP="0014663A">
      <w:pPr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1A667F">
        <w:rPr>
          <w:rFonts w:ascii="Arial Narrow" w:hAnsi="Arial Narrow" w:cs="Tahoma"/>
          <w:sz w:val="22"/>
          <w:szCs w:val="22"/>
        </w:rPr>
        <w:t>March</w:t>
      </w:r>
      <w:r w:rsidRPr="001A667F">
        <w:rPr>
          <w:rFonts w:ascii="Arial Narrow" w:hAnsi="Arial Narrow" w:cs="Tahoma"/>
          <w:sz w:val="22"/>
          <w:szCs w:val="22"/>
        </w:rPr>
        <w:t xml:space="preserve"> 2024, compared to the previous month, </w:t>
      </w:r>
      <w:r w:rsidRPr="001A667F">
        <w:rPr>
          <w:rFonts w:ascii="Arial Narrow" w:hAnsi="Arial Narrow" w:cs="Tahoma"/>
          <w:sz w:val="22"/>
          <w:szCs w:val="22"/>
        </w:rPr>
        <w:t>were on average 0.4</w:t>
      </w:r>
      <w:r w:rsidRPr="001A667F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1A667F">
        <w:rPr>
          <w:rFonts w:ascii="Arial Narrow" w:hAnsi="Arial Narrow" w:cs="Tahoma"/>
          <w:sz w:val="22"/>
          <w:szCs w:val="22"/>
        </w:rPr>
        <w:t>2.7</w:t>
      </w:r>
      <w:r w:rsidRPr="001A667F">
        <w:rPr>
          <w:rFonts w:ascii="Arial Narrow" w:hAnsi="Arial Narrow" w:cs="Tahoma"/>
          <w:sz w:val="22"/>
          <w:szCs w:val="22"/>
        </w:rPr>
        <w:t>% higher.</w:t>
      </w:r>
    </w:p>
    <w:p w:rsidR="0014663A" w:rsidRPr="001A667F" w:rsidRDefault="0014663A" w:rsidP="0014663A">
      <w:pPr>
        <w:jc w:val="both"/>
        <w:rPr>
          <w:rFonts w:ascii="Arial Narrow" w:hAnsi="Arial Narrow" w:cs="Tahoma"/>
          <w:sz w:val="22"/>
          <w:szCs w:val="22"/>
        </w:rPr>
      </w:pPr>
    </w:p>
    <w:p w:rsidR="0014663A" w:rsidRPr="001A667F" w:rsidRDefault="0014663A" w:rsidP="0014663A">
      <w:pPr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1A667F">
        <w:rPr>
          <w:rFonts w:ascii="Arial Narrow" w:hAnsi="Arial Narrow" w:cs="Tahoma"/>
          <w:sz w:val="22"/>
          <w:szCs w:val="22"/>
        </w:rPr>
        <w:t>eleven</w:t>
      </w:r>
      <w:r w:rsidRPr="001A667F">
        <w:rPr>
          <w:rFonts w:ascii="Arial Narrow" w:hAnsi="Arial Narrow" w:cs="Tahoma"/>
          <w:sz w:val="22"/>
          <w:szCs w:val="22"/>
        </w:rPr>
        <w:t xml:space="preserve"> divisions, while a decrease was recorded in </w:t>
      </w:r>
      <w:r w:rsidRPr="001A667F">
        <w:rPr>
          <w:rFonts w:ascii="Arial Narrow" w:hAnsi="Arial Narrow" w:cs="Tahoma"/>
          <w:sz w:val="22"/>
          <w:szCs w:val="22"/>
        </w:rPr>
        <w:t>one division</w:t>
      </w:r>
      <w:r w:rsidRPr="001A667F">
        <w:rPr>
          <w:rFonts w:ascii="Arial Narrow" w:hAnsi="Arial Narrow" w:cs="Tahoma"/>
          <w:sz w:val="22"/>
          <w:szCs w:val="22"/>
        </w:rPr>
        <w:t>.</w:t>
      </w:r>
    </w:p>
    <w:p w:rsidR="0014663A" w:rsidRPr="001A667F" w:rsidRDefault="0014663A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3A5D60" w:rsidRPr="001A667F" w:rsidRDefault="0014663A" w:rsidP="003A5D60">
      <w:pPr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1A667F">
        <w:rPr>
          <w:rFonts w:ascii="Arial Narrow" w:hAnsi="Arial Narrow" w:cs="Tahoma"/>
          <w:sz w:val="22"/>
          <w:szCs w:val="22"/>
        </w:rPr>
        <w:t>March</w:t>
      </w:r>
      <w:r w:rsidRPr="001A667F">
        <w:rPr>
          <w:rFonts w:ascii="Arial Narrow" w:hAnsi="Arial Narrow" w:cs="Tahoma"/>
          <w:sz w:val="22"/>
          <w:szCs w:val="22"/>
        </w:rPr>
        <w:t xml:space="preserve"> 2024 was recorded in the division </w:t>
      </w:r>
      <w:r w:rsidRPr="001A667F">
        <w:rPr>
          <w:rFonts w:ascii="Arial Narrow" w:hAnsi="Arial Narrow" w:cs="Tahoma"/>
          <w:i/>
          <w:sz w:val="22"/>
          <w:szCs w:val="22"/>
        </w:rPr>
        <w:t>Restaurants and hotels</w:t>
      </w:r>
      <w:r w:rsidRPr="001A667F">
        <w:rPr>
          <w:rFonts w:ascii="Arial Narrow" w:hAnsi="Arial Narrow" w:cs="Tahoma"/>
          <w:i/>
          <w:sz w:val="22"/>
          <w:szCs w:val="22"/>
        </w:rPr>
        <w:t xml:space="preserve">, </w:t>
      </w:r>
      <w:r w:rsidRPr="001A667F">
        <w:rPr>
          <w:rFonts w:ascii="Arial Narrow" w:hAnsi="Arial Narrow" w:cs="Tahoma"/>
          <w:sz w:val="22"/>
          <w:szCs w:val="22"/>
        </w:rPr>
        <w:t xml:space="preserve">by </w:t>
      </w:r>
      <w:r w:rsidRPr="001A667F">
        <w:rPr>
          <w:rFonts w:ascii="Arial Narrow" w:hAnsi="Arial Narrow" w:cs="Tahoma"/>
          <w:sz w:val="22"/>
          <w:szCs w:val="22"/>
        </w:rPr>
        <w:t>6.7</w:t>
      </w:r>
      <w:r w:rsidRPr="001A667F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5974BA" w:rsidRPr="001A667F">
        <w:rPr>
          <w:rFonts w:ascii="Arial Narrow" w:hAnsi="Arial Narrow" w:cs="Tahoma"/>
          <w:sz w:val="22"/>
          <w:szCs w:val="22"/>
        </w:rPr>
        <w:t>accommodation services by 13.3</w:t>
      </w:r>
      <w:r w:rsidRPr="001A667F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="005974BA" w:rsidRPr="001A667F">
        <w:rPr>
          <w:rFonts w:ascii="Arial Narrow" w:hAnsi="Arial Narrow" w:cs="Tahoma"/>
          <w:i/>
          <w:sz w:val="22"/>
          <w:szCs w:val="22"/>
        </w:rPr>
        <w:t>Other goods and services</w:t>
      </w:r>
      <w:r w:rsidRPr="001A667F">
        <w:rPr>
          <w:rFonts w:ascii="Arial Narrow" w:hAnsi="Arial Narrow" w:cs="Tahoma"/>
          <w:i/>
          <w:sz w:val="22"/>
          <w:szCs w:val="22"/>
        </w:rPr>
        <w:t xml:space="preserve">, </w:t>
      </w:r>
      <w:r w:rsidRPr="001A667F">
        <w:rPr>
          <w:rFonts w:ascii="Arial Narrow" w:hAnsi="Arial Narrow" w:cs="Tahoma"/>
          <w:sz w:val="22"/>
          <w:szCs w:val="22"/>
        </w:rPr>
        <w:t xml:space="preserve">by </w:t>
      </w:r>
      <w:r w:rsidR="005974BA" w:rsidRPr="001A667F">
        <w:rPr>
          <w:rFonts w:ascii="Arial Narrow" w:hAnsi="Arial Narrow" w:cs="Tahoma"/>
          <w:sz w:val="22"/>
          <w:szCs w:val="22"/>
        </w:rPr>
        <w:t>6.0</w:t>
      </w:r>
      <w:r w:rsidRPr="001A667F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5974BA" w:rsidRPr="001A667F">
        <w:rPr>
          <w:rFonts w:ascii="Arial Narrow" w:hAnsi="Arial Narrow" w:cs="Tahoma"/>
          <w:sz w:val="22"/>
          <w:szCs w:val="22"/>
        </w:rPr>
        <w:t>personal care products by 8.5</w:t>
      </w:r>
      <w:r w:rsidRPr="001A667F">
        <w:rPr>
          <w:rFonts w:ascii="Arial Narrow" w:hAnsi="Arial Narrow" w:cs="Tahoma"/>
          <w:sz w:val="22"/>
          <w:szCs w:val="22"/>
        </w:rPr>
        <w:t xml:space="preserve">%. An increase in prices by </w:t>
      </w:r>
      <w:r w:rsidR="005974BA" w:rsidRPr="001A667F">
        <w:rPr>
          <w:rFonts w:ascii="Arial Narrow" w:hAnsi="Arial Narrow" w:cs="Tahoma"/>
          <w:sz w:val="22"/>
          <w:szCs w:val="22"/>
        </w:rPr>
        <w:t>4.8</w:t>
      </w:r>
      <w:r w:rsidRPr="001A667F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5974BA" w:rsidRPr="001A667F">
        <w:rPr>
          <w:rFonts w:ascii="Arial Narrow" w:hAnsi="Arial Narrow" w:cs="Tahoma"/>
          <w:i/>
          <w:sz w:val="22"/>
          <w:szCs w:val="22"/>
        </w:rPr>
        <w:t>Recreation and culture</w:t>
      </w:r>
      <w:r w:rsidRPr="001A667F">
        <w:rPr>
          <w:rFonts w:ascii="Arial Narrow" w:hAnsi="Arial Narrow" w:cs="Tahoma"/>
          <w:sz w:val="22"/>
          <w:szCs w:val="22"/>
        </w:rPr>
        <w:t xml:space="preserve"> occurred due to higher prices in the group </w:t>
      </w:r>
      <w:r w:rsidR="005974BA" w:rsidRPr="001A667F">
        <w:rPr>
          <w:rFonts w:ascii="Arial Narrow" w:hAnsi="Arial Narrow" w:cs="Tahoma"/>
          <w:sz w:val="22"/>
          <w:szCs w:val="22"/>
        </w:rPr>
        <w:t>books and textbooks by 11.0</w:t>
      </w:r>
      <w:r w:rsidRPr="001A667F">
        <w:rPr>
          <w:rFonts w:ascii="Arial Narrow" w:hAnsi="Arial Narrow" w:cs="Tahoma"/>
          <w:sz w:val="22"/>
          <w:szCs w:val="22"/>
        </w:rPr>
        <w:t>%</w:t>
      </w:r>
      <w:r w:rsidR="005974BA" w:rsidRPr="001A667F">
        <w:rPr>
          <w:rFonts w:ascii="Arial Narrow" w:hAnsi="Arial Narrow" w:cs="Tahoma"/>
          <w:sz w:val="22"/>
          <w:szCs w:val="22"/>
        </w:rPr>
        <w:t xml:space="preserve">, while an increase in prices by 4.3% recorded in the division </w:t>
      </w:r>
      <w:r w:rsidR="005974BA" w:rsidRPr="001A667F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5974BA" w:rsidRPr="001A667F">
        <w:rPr>
          <w:rFonts w:ascii="Arial Narrow" w:hAnsi="Arial Narrow" w:cs="Tahoma"/>
          <w:sz w:val="22"/>
          <w:szCs w:val="22"/>
        </w:rPr>
        <w:t xml:space="preserve"> occurred due to higher prices in the group beer by </w:t>
      </w:r>
      <w:r w:rsidR="005974BA" w:rsidRPr="001A667F">
        <w:rPr>
          <w:rFonts w:ascii="Arial Narrow" w:hAnsi="Arial Narrow" w:cs="Tahoma"/>
          <w:sz w:val="22"/>
          <w:szCs w:val="22"/>
        </w:rPr>
        <w:t>8.7</w:t>
      </w:r>
      <w:r w:rsidR="005974BA" w:rsidRPr="001A667F">
        <w:rPr>
          <w:rFonts w:ascii="Arial Narrow" w:hAnsi="Arial Narrow" w:cs="Tahoma"/>
          <w:sz w:val="22"/>
          <w:szCs w:val="22"/>
        </w:rPr>
        <w:t>%.</w:t>
      </w:r>
    </w:p>
    <w:p w:rsidR="0014663A" w:rsidRPr="001A667F" w:rsidRDefault="0014663A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5974BA" w:rsidRPr="001A667F" w:rsidRDefault="005974BA" w:rsidP="003A5D60">
      <w:pPr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1A667F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1A667F">
        <w:rPr>
          <w:rFonts w:ascii="Arial Narrow" w:hAnsi="Arial Narrow" w:cs="Tahoma"/>
          <w:sz w:val="22"/>
          <w:szCs w:val="22"/>
        </w:rPr>
        <w:t xml:space="preserve">by </w:t>
      </w:r>
      <w:r w:rsidRPr="001A667F">
        <w:rPr>
          <w:rFonts w:ascii="Arial Narrow" w:hAnsi="Arial Narrow" w:cs="Tahoma"/>
          <w:sz w:val="22"/>
          <w:szCs w:val="22"/>
        </w:rPr>
        <w:t>4.0</w:t>
      </w:r>
      <w:r w:rsidRPr="001A667F">
        <w:rPr>
          <w:rFonts w:ascii="Arial Narrow" w:hAnsi="Arial Narrow" w:cs="Tahoma"/>
          <w:sz w:val="22"/>
          <w:szCs w:val="22"/>
        </w:rPr>
        <w:t xml:space="preserve">%, due to higher prices in the group repair of household appliances by </w:t>
      </w:r>
      <w:r w:rsidRPr="001A667F">
        <w:rPr>
          <w:rFonts w:ascii="Arial Narrow" w:hAnsi="Arial Narrow" w:cs="Tahoma"/>
          <w:sz w:val="22"/>
          <w:szCs w:val="22"/>
        </w:rPr>
        <w:t>37.0</w:t>
      </w:r>
      <w:r w:rsidRPr="001A667F">
        <w:rPr>
          <w:rFonts w:ascii="Arial Narrow" w:hAnsi="Arial Narrow" w:cs="Tahoma"/>
          <w:sz w:val="22"/>
          <w:szCs w:val="22"/>
        </w:rPr>
        <w:t>%</w:t>
      </w:r>
      <w:r w:rsidRPr="001A667F">
        <w:rPr>
          <w:rFonts w:ascii="Arial Narrow" w:hAnsi="Arial Narrow" w:cs="Tahoma"/>
          <w:sz w:val="22"/>
          <w:szCs w:val="22"/>
        </w:rPr>
        <w:t xml:space="preserve">; </w:t>
      </w:r>
      <w:r w:rsidRPr="001A667F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1A667F">
        <w:rPr>
          <w:rFonts w:ascii="Arial Narrow" w:hAnsi="Arial Narrow" w:cs="Tahoma"/>
          <w:sz w:val="22"/>
          <w:szCs w:val="22"/>
        </w:rPr>
        <w:t xml:space="preserve">by </w:t>
      </w:r>
      <w:r w:rsidRPr="001A667F">
        <w:rPr>
          <w:rFonts w:ascii="Arial Narrow" w:hAnsi="Arial Narrow" w:cs="Tahoma"/>
          <w:sz w:val="22"/>
          <w:szCs w:val="22"/>
        </w:rPr>
        <w:t>3.5</w:t>
      </w:r>
      <w:r w:rsidRPr="001A667F">
        <w:rPr>
          <w:rFonts w:ascii="Arial Narrow" w:hAnsi="Arial Narrow" w:cs="Tahoma"/>
          <w:sz w:val="22"/>
          <w:szCs w:val="22"/>
        </w:rPr>
        <w:t>%, due to higher prices in the group services for the maintenance a</w:t>
      </w:r>
      <w:r w:rsidRPr="001A667F">
        <w:rPr>
          <w:rFonts w:ascii="Arial Narrow" w:hAnsi="Arial Narrow" w:cs="Tahoma"/>
          <w:sz w:val="22"/>
          <w:szCs w:val="22"/>
        </w:rPr>
        <w:t>nd repair of the dwelling by 13.</w:t>
      </w:r>
      <w:r w:rsidRPr="001A667F">
        <w:rPr>
          <w:rFonts w:ascii="Arial Narrow" w:hAnsi="Arial Narrow" w:cs="Tahoma"/>
          <w:sz w:val="22"/>
          <w:szCs w:val="22"/>
        </w:rPr>
        <w:t>8%;</w:t>
      </w:r>
      <w:r w:rsidRPr="001A667F">
        <w:rPr>
          <w:rFonts w:ascii="Arial Narrow" w:hAnsi="Arial Narrow" w:cs="Tahoma"/>
          <w:sz w:val="22"/>
          <w:szCs w:val="22"/>
        </w:rPr>
        <w:t xml:space="preserve"> </w:t>
      </w:r>
      <w:r w:rsidRPr="001A667F">
        <w:rPr>
          <w:rFonts w:ascii="Arial Narrow" w:hAnsi="Arial Narrow" w:cs="Tahoma"/>
          <w:i/>
          <w:sz w:val="22"/>
          <w:szCs w:val="22"/>
        </w:rPr>
        <w:t>Health</w:t>
      </w:r>
      <w:r w:rsidRPr="001A667F">
        <w:rPr>
          <w:rFonts w:ascii="Arial Narrow" w:hAnsi="Arial Narrow" w:cs="Tahoma"/>
          <w:sz w:val="22"/>
          <w:szCs w:val="22"/>
        </w:rPr>
        <w:t xml:space="preserve">, by 2.7%, due to higher prices in the group medical equipment and supplies by 5.6%. </w:t>
      </w:r>
    </w:p>
    <w:p w:rsidR="005974BA" w:rsidRPr="001A667F" w:rsidRDefault="005974BA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5974BA" w:rsidRPr="001A667F" w:rsidRDefault="005974BA" w:rsidP="006760F5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An increase by 2.3% in the division </w:t>
      </w:r>
      <w:r w:rsidRPr="001A667F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1A667F">
        <w:rPr>
          <w:rFonts w:ascii="Arial Narrow" w:hAnsi="Arial Narrow" w:cs="Tahoma"/>
          <w:sz w:val="22"/>
          <w:szCs w:val="22"/>
        </w:rPr>
        <w:t>occurred due to higher prices in the telephone and internet services by 2.5%, while an increase in prices by</w:t>
      </w:r>
      <w:r w:rsidRPr="001A667F">
        <w:rPr>
          <w:rFonts w:ascii="Arial Narrow" w:hAnsi="Arial Narrow" w:cs="Tahoma"/>
          <w:sz w:val="22"/>
          <w:szCs w:val="22"/>
        </w:rPr>
        <w:t xml:space="preserve"> 1.9% recorded in the division </w:t>
      </w:r>
      <w:r w:rsidRPr="001A667F">
        <w:rPr>
          <w:rFonts w:ascii="Arial Narrow" w:hAnsi="Arial Narrow" w:cs="Tahoma"/>
          <w:i/>
          <w:sz w:val="22"/>
          <w:szCs w:val="22"/>
        </w:rPr>
        <w:t xml:space="preserve">Food and non-alcoholic beverages </w:t>
      </w:r>
      <w:r w:rsidRPr="001A667F">
        <w:rPr>
          <w:rFonts w:ascii="Arial Narrow" w:hAnsi="Arial Narrow" w:cs="Tahoma"/>
          <w:sz w:val="22"/>
          <w:szCs w:val="22"/>
        </w:rPr>
        <w:t xml:space="preserve">occurred due to higher prices in the group mineral water and juices by 9.3% and in the group meat by 7.2%. In the division </w:t>
      </w:r>
      <w:r w:rsidRPr="001A667F">
        <w:rPr>
          <w:rFonts w:ascii="Arial Narrow" w:hAnsi="Arial Narrow" w:cs="Tahoma"/>
          <w:i/>
          <w:sz w:val="22"/>
          <w:szCs w:val="22"/>
        </w:rPr>
        <w:t>Transport</w:t>
      </w:r>
      <w:r w:rsidRPr="001A667F">
        <w:rPr>
          <w:rFonts w:ascii="Arial Narrow" w:hAnsi="Arial Narrow" w:cs="Tahoma"/>
          <w:sz w:val="22"/>
          <w:szCs w:val="22"/>
        </w:rPr>
        <w:t xml:space="preserve"> an increase in prices by 1.7% was recorded, due to higher prices in the group other motor vehicle related services by 24.6%. A</w:t>
      </w:r>
      <w:r w:rsidRPr="001A667F">
        <w:rPr>
          <w:rFonts w:ascii="Arial Narrow" w:hAnsi="Arial Narrow" w:cs="Tahoma"/>
          <w:sz w:val="22"/>
          <w:szCs w:val="22"/>
        </w:rPr>
        <w:t xml:space="preserve">n increase in prices by </w:t>
      </w:r>
      <w:r w:rsidRPr="001A667F">
        <w:rPr>
          <w:rFonts w:ascii="Arial Narrow" w:hAnsi="Arial Narrow" w:cs="Tahoma"/>
          <w:sz w:val="22"/>
          <w:szCs w:val="22"/>
        </w:rPr>
        <w:t>0.8</w:t>
      </w:r>
      <w:r w:rsidRPr="001A667F">
        <w:rPr>
          <w:rFonts w:ascii="Arial Narrow" w:hAnsi="Arial Narrow" w:cs="Tahoma"/>
          <w:sz w:val="22"/>
          <w:szCs w:val="22"/>
        </w:rPr>
        <w:t xml:space="preserve">% recorded in the division </w:t>
      </w:r>
      <w:r w:rsidRPr="001A667F">
        <w:rPr>
          <w:rFonts w:ascii="Arial Narrow" w:hAnsi="Arial Narrow" w:cs="Tahoma"/>
          <w:i/>
          <w:sz w:val="22"/>
          <w:szCs w:val="22"/>
        </w:rPr>
        <w:t>Education</w:t>
      </w:r>
      <w:r w:rsidRPr="001A667F">
        <w:rPr>
          <w:rFonts w:ascii="Arial Narrow" w:hAnsi="Arial Narrow" w:cs="Tahoma"/>
          <w:sz w:val="22"/>
          <w:szCs w:val="22"/>
        </w:rPr>
        <w:t xml:space="preserve"> occurred due to higher prices in the group non-advanced education by </w:t>
      </w:r>
      <w:r w:rsidRPr="001A667F">
        <w:rPr>
          <w:rFonts w:ascii="Arial Narrow" w:hAnsi="Arial Narrow" w:cs="Tahoma"/>
          <w:sz w:val="22"/>
          <w:szCs w:val="22"/>
        </w:rPr>
        <w:t>7.9</w:t>
      </w:r>
      <w:r w:rsidRPr="001A667F">
        <w:rPr>
          <w:rFonts w:ascii="Arial Narrow" w:hAnsi="Arial Narrow" w:cs="Tahoma"/>
          <w:sz w:val="22"/>
          <w:szCs w:val="22"/>
        </w:rPr>
        <w:t>%.</w:t>
      </w:r>
    </w:p>
    <w:p w:rsidR="006760F5" w:rsidRPr="001A667F" w:rsidRDefault="005974BA" w:rsidP="005974BA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1A667F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1A667F">
        <w:rPr>
          <w:rFonts w:ascii="Arial Narrow" w:hAnsi="Arial Narrow" w:cs="Tahoma"/>
          <w:sz w:val="22"/>
          <w:szCs w:val="22"/>
        </w:rPr>
        <w:t>March</w:t>
      </w:r>
      <w:r w:rsidRPr="001A667F">
        <w:rPr>
          <w:rFonts w:ascii="Arial Narrow" w:hAnsi="Arial Narrow" w:cs="Tahoma"/>
          <w:sz w:val="22"/>
          <w:szCs w:val="22"/>
        </w:rPr>
        <w:t xml:space="preserve"> 2024 was recorded in the division </w:t>
      </w:r>
      <w:r w:rsidRPr="001A667F">
        <w:rPr>
          <w:rFonts w:ascii="Arial Narrow" w:hAnsi="Arial Narrow" w:cs="Tahoma"/>
          <w:i/>
          <w:sz w:val="22"/>
          <w:szCs w:val="22"/>
        </w:rPr>
        <w:t>Clothing and footwear</w:t>
      </w:r>
      <w:r w:rsidRPr="001A667F">
        <w:rPr>
          <w:rFonts w:ascii="Arial Narrow" w:hAnsi="Arial Narrow" w:cs="Tahoma"/>
          <w:sz w:val="22"/>
          <w:szCs w:val="22"/>
        </w:rPr>
        <w:t xml:space="preserve">, </w:t>
      </w:r>
      <w:r w:rsidRPr="001A667F">
        <w:rPr>
          <w:rFonts w:ascii="Arial Narrow" w:hAnsi="Arial Narrow" w:cs="Tahoma"/>
          <w:sz w:val="22"/>
          <w:szCs w:val="22"/>
        </w:rPr>
        <w:t>by 5.4</w:t>
      </w:r>
      <w:r w:rsidRPr="001A667F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6760F5" w:rsidRPr="001A667F">
        <w:rPr>
          <w:rFonts w:ascii="Arial Narrow" w:hAnsi="Arial Narrow" w:cs="Tahoma"/>
          <w:sz w:val="22"/>
          <w:szCs w:val="22"/>
        </w:rPr>
        <w:t xml:space="preserve">. </w:t>
      </w:r>
    </w:p>
    <w:p w:rsidR="00502006" w:rsidRPr="001A667F" w:rsidRDefault="00502006" w:rsidP="003A5D60">
      <w:pPr>
        <w:jc w:val="both"/>
        <w:rPr>
          <w:rFonts w:ascii="Arial Narrow" w:hAnsi="Arial Narrow" w:cs="Tahoma"/>
          <w:sz w:val="22"/>
          <w:szCs w:val="22"/>
        </w:rPr>
      </w:pPr>
    </w:p>
    <w:p w:rsidR="00502006" w:rsidRPr="001A667F" w:rsidRDefault="00502006" w:rsidP="00502006">
      <w:pPr>
        <w:rPr>
          <w:rFonts w:ascii="Arial Narrow" w:hAnsi="Arial Narrow" w:cs="Tahoma"/>
          <w:sz w:val="16"/>
          <w:szCs w:val="16"/>
        </w:rPr>
      </w:pPr>
    </w:p>
    <w:p w:rsidR="009A53BA" w:rsidRPr="001A667F" w:rsidRDefault="009A53BA" w:rsidP="00502006">
      <w:pPr>
        <w:rPr>
          <w:rFonts w:ascii="Arial Narrow" w:hAnsi="Arial Narrow" w:cs="Tahoma"/>
          <w:sz w:val="16"/>
          <w:szCs w:val="16"/>
        </w:rPr>
      </w:pPr>
    </w:p>
    <w:p w:rsidR="00502006" w:rsidRPr="001A667F" w:rsidRDefault="00203C97" w:rsidP="00502006">
      <w:pPr>
        <w:jc w:val="center"/>
        <w:rPr>
          <w:rFonts w:ascii="Arial Narrow" w:hAnsi="Arial Narrow" w:cs="Tahoma"/>
          <w:sz w:val="16"/>
          <w:szCs w:val="16"/>
        </w:rPr>
      </w:pP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4CE11" wp14:editId="1EA22D7B">
                <wp:simplePos x="0" y="0"/>
                <wp:positionH relativeFrom="margin">
                  <wp:posOffset>3539769</wp:posOffset>
                </wp:positionH>
                <wp:positionV relativeFrom="paragraph">
                  <wp:posOffset>2286457</wp:posOffset>
                </wp:positionV>
                <wp:extent cx="906145" cy="294199"/>
                <wp:effectExtent l="0" t="0" r="825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3C97" w:rsidRDefault="00203C97" w:rsidP="00203C9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4CE1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8.7pt;margin-top:180.05pt;width:71.3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" fillcolor="window" stroked="f" strokeweight=".5pt">
                <v:textbox>
                  <w:txbxContent>
                    <w:p w:rsidR="00203C97" w:rsidRDefault="00203C97" w:rsidP="00203C9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DF9D7" wp14:editId="634689DD">
                <wp:simplePos x="0" y="0"/>
                <wp:positionH relativeFrom="margin">
                  <wp:posOffset>2253081</wp:posOffset>
                </wp:positionH>
                <wp:positionV relativeFrom="paragraph">
                  <wp:posOffset>2308403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3C97" w:rsidRDefault="00203C97" w:rsidP="00203C9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F9D7" id="Text Box 30" o:spid="_x0000_s1027" type="#_x0000_t202" style="position:absolute;left:0;text-align:left;margin-left:177.4pt;margin-top:181.75pt;width:71.3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" fillcolor="window" stroked="f" strokeweight=".5pt">
                <v:textbox>
                  <w:txbxContent>
                    <w:p w:rsidR="00203C97" w:rsidRDefault="00203C97" w:rsidP="00203C9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006" w:rsidRPr="001A667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1A667F" w:rsidRDefault="00203C97" w:rsidP="00502006">
      <w:pPr>
        <w:jc w:val="center"/>
        <w:rPr>
          <w:rFonts w:ascii="Arial Narrow" w:hAnsi="Arial Narrow" w:cs="Tahoma"/>
          <w:sz w:val="16"/>
          <w:szCs w:val="16"/>
        </w:rPr>
      </w:pPr>
      <w:r w:rsidRPr="001A667F">
        <w:rPr>
          <w:rFonts w:ascii="Arial Narrow" w:hAnsi="Arial Narrow" w:cs="Tahoma"/>
          <w:sz w:val="16"/>
          <w:szCs w:val="16"/>
        </w:rPr>
        <w:t>Graph 2</w:t>
      </w:r>
      <w:r w:rsidR="00502006" w:rsidRPr="001A667F">
        <w:rPr>
          <w:rFonts w:ascii="Arial Narrow" w:hAnsi="Arial Narrow" w:cs="Tahoma"/>
          <w:sz w:val="16"/>
          <w:szCs w:val="16"/>
        </w:rPr>
        <w:t>. Monthly and annual inflation</w:t>
      </w:r>
    </w:p>
    <w:p w:rsidR="00502006" w:rsidRPr="001A667F" w:rsidRDefault="00203C97" w:rsidP="00203C97">
      <w:pPr>
        <w:tabs>
          <w:tab w:val="left" w:pos="1037"/>
        </w:tabs>
        <w:rPr>
          <w:rFonts w:ascii="Arial Narrow" w:hAnsi="Arial Narrow" w:cs="Tahoma"/>
          <w:bCs/>
          <w:spacing w:val="-3"/>
          <w:sz w:val="16"/>
          <w:szCs w:val="16"/>
        </w:rPr>
      </w:pPr>
      <w:r w:rsidRPr="001A667F">
        <w:rPr>
          <w:rFonts w:ascii="Arial Narrow" w:hAnsi="Arial Narrow" w:cs="Tahoma"/>
          <w:bCs/>
          <w:spacing w:val="-3"/>
          <w:sz w:val="16"/>
          <w:szCs w:val="16"/>
        </w:rPr>
        <w:tab/>
      </w:r>
    </w:p>
    <w:p w:rsidR="00BC2444" w:rsidRPr="001A667F" w:rsidRDefault="00BC2444" w:rsidP="00502006">
      <w:pPr>
        <w:rPr>
          <w:sz w:val="16"/>
          <w:szCs w:val="16"/>
        </w:rPr>
      </w:pPr>
    </w:p>
    <w:p w:rsidR="00BC2444" w:rsidRPr="001A667F" w:rsidRDefault="00BC2444" w:rsidP="00502006">
      <w:pPr>
        <w:rPr>
          <w:sz w:val="16"/>
          <w:szCs w:val="16"/>
        </w:rPr>
      </w:pPr>
    </w:p>
    <w:p w:rsidR="00BD7B46" w:rsidRPr="001A667F" w:rsidRDefault="00BD7B46" w:rsidP="00502006">
      <w:pPr>
        <w:rPr>
          <w:sz w:val="16"/>
          <w:szCs w:val="16"/>
        </w:rPr>
      </w:pPr>
    </w:p>
    <w:p w:rsidR="00BD7B46" w:rsidRPr="001A667F" w:rsidRDefault="00BD7B46" w:rsidP="00502006">
      <w:pPr>
        <w:rPr>
          <w:sz w:val="16"/>
          <w:szCs w:val="16"/>
        </w:rPr>
      </w:pPr>
    </w:p>
    <w:p w:rsidR="00BD7B46" w:rsidRPr="001A667F" w:rsidRDefault="00BD7B46" w:rsidP="00502006">
      <w:pPr>
        <w:rPr>
          <w:sz w:val="16"/>
          <w:szCs w:val="16"/>
        </w:rPr>
      </w:pPr>
    </w:p>
    <w:p w:rsidR="00F95518" w:rsidRPr="001A667F" w:rsidRDefault="00BD7B46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1A667F">
        <w:rPr>
          <w:rFonts w:ascii="Arial Narrow" w:hAnsi="Arial Narrow" w:cs="Tahoma"/>
          <w:b/>
          <w:bCs/>
          <w:sz w:val="28"/>
          <w:szCs w:val="30"/>
        </w:rPr>
        <w:t>Working-day adjusted industrial production (Jan-Mar</w:t>
      </w:r>
      <w:r w:rsidR="00F95518" w:rsidRPr="001A667F">
        <w:rPr>
          <w:rFonts w:ascii="Arial Narrow" w:hAnsi="Arial Narrow" w:cs="Tahoma"/>
          <w:b/>
          <w:sz w:val="28"/>
          <w:szCs w:val="30"/>
        </w:rPr>
        <w:t xml:space="preserve"> 20</w:t>
      </w:r>
      <w:r w:rsidR="00A14771" w:rsidRPr="001A667F">
        <w:rPr>
          <w:rFonts w:ascii="Arial Narrow" w:hAnsi="Arial Narrow" w:cs="Tahoma"/>
          <w:b/>
          <w:sz w:val="28"/>
          <w:szCs w:val="30"/>
        </w:rPr>
        <w:t>24</w:t>
      </w:r>
      <w:r w:rsidR="00F95518" w:rsidRPr="001A667F">
        <w:rPr>
          <w:rFonts w:ascii="Arial Narrow" w:hAnsi="Arial Narrow" w:cs="Tahoma"/>
          <w:b/>
          <w:sz w:val="28"/>
          <w:szCs w:val="30"/>
        </w:rPr>
        <w:t>/</w:t>
      </w:r>
      <w:r w:rsidRPr="001A667F">
        <w:rPr>
          <w:rFonts w:ascii="Arial Narrow" w:hAnsi="Arial Narrow" w:cs="Tahoma"/>
          <w:b/>
          <w:sz w:val="28"/>
          <w:szCs w:val="30"/>
        </w:rPr>
        <w:t>Jan</w:t>
      </w:r>
      <w:r w:rsidR="00FF54B6" w:rsidRPr="001A667F">
        <w:rPr>
          <w:rFonts w:ascii="Arial Narrow" w:hAnsi="Arial Narrow" w:cs="Tahoma"/>
          <w:b/>
          <w:sz w:val="28"/>
          <w:szCs w:val="30"/>
        </w:rPr>
        <w:t>-</w:t>
      </w:r>
      <w:r w:rsidRPr="001A667F">
        <w:rPr>
          <w:rFonts w:ascii="Arial Narrow" w:hAnsi="Arial Narrow" w:cs="Tahoma"/>
          <w:b/>
          <w:sz w:val="28"/>
          <w:szCs w:val="30"/>
        </w:rPr>
        <w:t>Mar</w:t>
      </w:r>
      <w:r w:rsidR="00F95518" w:rsidRPr="001A667F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1A667F">
        <w:rPr>
          <w:rFonts w:ascii="Arial Narrow" w:hAnsi="Arial Narrow" w:cs="Tahoma"/>
          <w:b/>
          <w:bCs/>
          <w:sz w:val="28"/>
          <w:szCs w:val="30"/>
        </w:rPr>
        <w:t>202</w:t>
      </w:r>
      <w:r w:rsidR="00A14771" w:rsidRPr="001A667F">
        <w:rPr>
          <w:rFonts w:ascii="Arial Narrow" w:hAnsi="Arial Narrow" w:cs="Tahoma"/>
          <w:b/>
          <w:bCs/>
          <w:sz w:val="28"/>
          <w:szCs w:val="30"/>
        </w:rPr>
        <w:t>3</w:t>
      </w:r>
      <w:r w:rsidR="00F95518" w:rsidRPr="001A667F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1A667F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F95518" w:rsidRPr="001A667F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54010F" w:rsidRPr="001A667F">
        <w:rPr>
          <w:rFonts w:ascii="Arial Narrow" w:hAnsi="Arial Narrow" w:cs="Tahoma"/>
          <w:b/>
          <w:bCs/>
          <w:sz w:val="28"/>
          <w:szCs w:val="30"/>
        </w:rPr>
        <w:t>6</w:t>
      </w:r>
      <w:r w:rsidRPr="001A667F">
        <w:rPr>
          <w:rFonts w:ascii="Arial Narrow" w:hAnsi="Arial Narrow" w:cs="Tahoma"/>
          <w:b/>
          <w:bCs/>
          <w:sz w:val="28"/>
          <w:szCs w:val="30"/>
        </w:rPr>
        <w:t>.</w:t>
      </w:r>
      <w:r w:rsidR="00A14771" w:rsidRPr="001A667F">
        <w:rPr>
          <w:rFonts w:ascii="Arial Narrow" w:hAnsi="Arial Narrow" w:cs="Tahoma"/>
          <w:b/>
          <w:bCs/>
          <w:sz w:val="28"/>
          <w:szCs w:val="30"/>
        </w:rPr>
        <w:t>1</w:t>
      </w:r>
      <w:r w:rsidR="00F95518" w:rsidRPr="001A667F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1A667F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3B767B" w:rsidRPr="001A667F" w:rsidRDefault="003B767B" w:rsidP="003B767B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>Working-day adjusted industrial production in Republika Srpska in the period January-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compared to the same period of 2023, decreased by </w:t>
      </w:r>
      <w:r w:rsidRPr="001A667F">
        <w:rPr>
          <w:rFonts w:ascii="Arial Narrow" w:hAnsi="Arial Narrow" w:cs="Tahoma"/>
          <w:sz w:val="22"/>
        </w:rPr>
        <w:t>6</w:t>
      </w:r>
      <w:r w:rsidRPr="001A667F">
        <w:rPr>
          <w:rFonts w:ascii="Arial Narrow" w:hAnsi="Arial Narrow" w:cs="Tahoma"/>
          <w:sz w:val="22"/>
        </w:rPr>
        <w:t xml:space="preserve">.1%. During the same period, in the section </w:t>
      </w:r>
      <w:r w:rsidRPr="001A667F">
        <w:rPr>
          <w:rFonts w:ascii="Arial Narrow" w:hAnsi="Arial Narrow" w:cs="Tahoma"/>
          <w:i/>
          <w:sz w:val="22"/>
        </w:rPr>
        <w:t>Electricity, gas, steam and air-conditioning supply</w:t>
      </w:r>
      <w:r w:rsidRPr="001A667F">
        <w:rPr>
          <w:rFonts w:ascii="Arial Narrow" w:hAnsi="Arial Narrow" w:cs="Tahoma"/>
          <w:sz w:val="22"/>
        </w:rPr>
        <w:t xml:space="preserve"> </w:t>
      </w:r>
      <w:r w:rsidRPr="001A667F">
        <w:rPr>
          <w:rFonts w:ascii="Arial Narrow" w:hAnsi="Arial Narrow" w:cs="Tahoma"/>
          <w:sz w:val="22"/>
        </w:rPr>
        <w:t>a decrease</w:t>
      </w:r>
      <w:r w:rsidRPr="001A667F">
        <w:rPr>
          <w:rFonts w:ascii="Arial Narrow" w:hAnsi="Arial Narrow" w:cs="Tahoma"/>
          <w:sz w:val="22"/>
        </w:rPr>
        <w:t xml:space="preserve"> </w:t>
      </w:r>
      <w:r w:rsidRPr="001A667F">
        <w:rPr>
          <w:rFonts w:ascii="Arial Narrow" w:hAnsi="Arial Narrow" w:cs="Tahoma"/>
          <w:sz w:val="22"/>
        </w:rPr>
        <w:t>by 2.6</w:t>
      </w:r>
      <w:r w:rsidRPr="001A667F">
        <w:rPr>
          <w:rFonts w:ascii="Arial Narrow" w:hAnsi="Arial Narrow" w:cs="Tahoma"/>
          <w:sz w:val="22"/>
        </w:rPr>
        <w:t xml:space="preserve">% was recorded, in the section </w:t>
      </w:r>
      <w:r w:rsidRPr="001A667F">
        <w:rPr>
          <w:rFonts w:ascii="Arial Narrow" w:hAnsi="Arial Narrow" w:cs="Tahoma"/>
          <w:i/>
          <w:sz w:val="22"/>
        </w:rPr>
        <w:t xml:space="preserve">Manufacturing </w:t>
      </w:r>
      <w:r w:rsidRPr="001A667F">
        <w:rPr>
          <w:rFonts w:ascii="Arial Narrow" w:hAnsi="Arial Narrow" w:cs="Tahoma"/>
          <w:sz w:val="22"/>
        </w:rPr>
        <w:t xml:space="preserve">a decrease by </w:t>
      </w:r>
      <w:r w:rsidRPr="001A667F">
        <w:rPr>
          <w:rFonts w:ascii="Arial Narrow" w:hAnsi="Arial Narrow" w:cs="Tahoma"/>
          <w:sz w:val="22"/>
        </w:rPr>
        <w:t>4.9</w:t>
      </w:r>
      <w:r w:rsidRPr="001A667F">
        <w:rPr>
          <w:rFonts w:ascii="Arial Narrow" w:hAnsi="Arial Narrow" w:cs="Tahoma"/>
          <w:sz w:val="22"/>
        </w:rPr>
        <w:t xml:space="preserve">% and in the section </w:t>
      </w:r>
      <w:r w:rsidRPr="001A667F">
        <w:rPr>
          <w:rFonts w:ascii="Arial Narrow" w:hAnsi="Arial Narrow" w:cs="Tahoma"/>
          <w:i/>
          <w:sz w:val="22"/>
        </w:rPr>
        <w:t xml:space="preserve">Mining and quarrying </w:t>
      </w:r>
      <w:r w:rsidRPr="001A667F">
        <w:rPr>
          <w:rFonts w:ascii="Arial Narrow" w:hAnsi="Arial Narrow" w:cs="Tahoma"/>
          <w:sz w:val="22"/>
        </w:rPr>
        <w:t xml:space="preserve">a decrease by </w:t>
      </w:r>
      <w:r w:rsidRPr="001A667F">
        <w:rPr>
          <w:rFonts w:ascii="Arial Narrow" w:hAnsi="Arial Narrow" w:cs="Tahoma"/>
          <w:sz w:val="22"/>
        </w:rPr>
        <w:t>13.0</w:t>
      </w:r>
      <w:r w:rsidRPr="001A667F">
        <w:rPr>
          <w:rFonts w:ascii="Arial Narrow" w:hAnsi="Arial Narrow" w:cs="Tahoma"/>
          <w:sz w:val="22"/>
        </w:rPr>
        <w:t>%.</w:t>
      </w:r>
    </w:p>
    <w:p w:rsidR="003B767B" w:rsidRPr="001A667F" w:rsidRDefault="003B767B" w:rsidP="00347E9F">
      <w:pPr>
        <w:jc w:val="both"/>
        <w:rPr>
          <w:rFonts w:ascii="Arial Narrow" w:hAnsi="Arial Narrow" w:cs="Tahoma"/>
          <w:sz w:val="22"/>
        </w:rPr>
      </w:pPr>
    </w:p>
    <w:p w:rsidR="00B97BCB" w:rsidRPr="001A667F" w:rsidRDefault="00EE0AF0" w:rsidP="00347E9F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>Seasonally adjusted industrial production in Republika Srpska in March 2024, compared to February 2024, decreased by 6.6%.</w:t>
      </w:r>
    </w:p>
    <w:p w:rsidR="00B97BCB" w:rsidRPr="001A667F" w:rsidRDefault="00B97BCB" w:rsidP="00660BA1">
      <w:pPr>
        <w:jc w:val="both"/>
        <w:rPr>
          <w:rFonts w:ascii="Arial Narrow" w:hAnsi="Arial Narrow" w:cs="Tahoma"/>
          <w:sz w:val="22"/>
        </w:rPr>
      </w:pPr>
    </w:p>
    <w:p w:rsidR="00EE0AF0" w:rsidRPr="001A667F" w:rsidRDefault="00EE0AF0" w:rsidP="00660BA1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Working-day adjusted industrial production in Republika Srpska in March 2024, compared to March 2023, decreased by 11.1%. </w:t>
      </w:r>
    </w:p>
    <w:p w:rsidR="008967F4" w:rsidRPr="001A667F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8967F4" w:rsidRPr="001A667F" w:rsidRDefault="00203C97" w:rsidP="008967F4">
      <w:pPr>
        <w:jc w:val="both"/>
        <w:rPr>
          <w:rFonts w:ascii="Arial Narrow" w:hAnsi="Arial Narrow" w:cs="Tahoma"/>
          <w:sz w:val="22"/>
        </w:rPr>
      </w:pP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EB42C" wp14:editId="21E2FCCA">
                <wp:simplePos x="0" y="0"/>
                <wp:positionH relativeFrom="margin">
                  <wp:posOffset>3818535</wp:posOffset>
                </wp:positionH>
                <wp:positionV relativeFrom="paragraph">
                  <wp:posOffset>2534514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3C97" w:rsidRDefault="00203C97" w:rsidP="00203C9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B42C" id="Text Box 28" o:spid="_x0000_s1028" type="#_x0000_t202" style="position:absolute;left:0;text-align:left;margin-left:300.65pt;margin-top:199.55pt;width:1in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" fillcolor="window" stroked="f" strokeweight=".5pt">
                <v:textbox>
                  <w:txbxContent>
                    <w:p w:rsidR="00203C97" w:rsidRDefault="00203C97" w:rsidP="00203C9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6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B5C31" wp14:editId="785C9911">
                <wp:simplePos x="0" y="0"/>
                <wp:positionH relativeFrom="margin">
                  <wp:posOffset>2307234</wp:posOffset>
                </wp:positionH>
                <wp:positionV relativeFrom="paragraph">
                  <wp:posOffset>2538679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3C97" w:rsidRDefault="00203C97" w:rsidP="00203C9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5C31" id="Text Box 27" o:spid="_x0000_s1029" type="#_x0000_t202" style="position:absolute;left:0;text-align:left;margin-left:181.65pt;margin-top:199.9pt;width:98.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" fillcolor="window" stroked="f" strokeweight=".5pt">
                <v:textbox>
                  <w:txbxContent>
                    <w:p w:rsidR="00203C97" w:rsidRDefault="00203C97" w:rsidP="00203C9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24" w:rsidRPr="001A66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F938E8" w:rsidRPr="001A667F">
        <w:rPr>
          <w:noProof/>
        </w:rPr>
        <w:drawing>
          <wp:inline distT="0" distB="0" distL="0" distR="0" wp14:anchorId="5FC44C55" wp14:editId="08B134F8">
            <wp:extent cx="6406738" cy="2927267"/>
            <wp:effectExtent l="0" t="0" r="0" b="698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1A667F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1A667F" w:rsidRDefault="00203C97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1A667F">
        <w:rPr>
          <w:rFonts w:ascii="Arial Narrow" w:hAnsi="Arial Narrow" w:cs="Tahoma"/>
          <w:sz w:val="16"/>
          <w:szCs w:val="16"/>
        </w:rPr>
        <w:t>Graph</w:t>
      </w:r>
      <w:r w:rsidR="00E15D41" w:rsidRPr="001A667F">
        <w:rPr>
          <w:rFonts w:ascii="Arial Narrow" w:hAnsi="Arial Narrow" w:cs="Tahoma"/>
          <w:sz w:val="16"/>
          <w:szCs w:val="16"/>
        </w:rPr>
        <w:t xml:space="preserve"> 3. </w:t>
      </w:r>
      <w:r w:rsidRPr="001A667F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1A667F">
        <w:rPr>
          <w:rFonts w:ascii="Arial Narrow" w:hAnsi="Arial Narrow" w:cs="Tahoma"/>
          <w:sz w:val="16"/>
          <w:szCs w:val="16"/>
        </w:rPr>
        <w:t xml:space="preserve"> </w:t>
      </w:r>
      <w:r w:rsidRPr="001A667F">
        <w:rPr>
          <w:rFonts w:ascii="Arial Narrow" w:hAnsi="Arial Narrow" w:cs="Tahoma"/>
          <w:sz w:val="16"/>
          <w:szCs w:val="16"/>
        </w:rPr>
        <w:t>March</w:t>
      </w:r>
      <w:r w:rsidR="00C411FF" w:rsidRPr="001A667F">
        <w:rPr>
          <w:rFonts w:ascii="Arial Narrow" w:hAnsi="Arial Narrow" w:cs="Tahoma"/>
          <w:sz w:val="16"/>
          <w:szCs w:val="16"/>
        </w:rPr>
        <w:t xml:space="preserve"> 20</w:t>
      </w:r>
      <w:r w:rsidR="00A14771" w:rsidRPr="001A667F">
        <w:rPr>
          <w:rFonts w:ascii="Arial Narrow" w:hAnsi="Arial Narrow" w:cs="Tahoma"/>
          <w:sz w:val="16"/>
          <w:szCs w:val="16"/>
        </w:rPr>
        <w:t>20</w:t>
      </w:r>
      <w:r w:rsidR="00C411FF" w:rsidRPr="001A667F">
        <w:rPr>
          <w:rFonts w:ascii="Arial Narrow" w:hAnsi="Arial Narrow" w:cs="Tahoma"/>
          <w:sz w:val="16"/>
          <w:szCs w:val="16"/>
        </w:rPr>
        <w:t xml:space="preserve"> – </w:t>
      </w:r>
      <w:r w:rsidRPr="001A667F">
        <w:rPr>
          <w:rFonts w:ascii="Arial Narrow" w:hAnsi="Arial Narrow" w:cs="Tahoma"/>
          <w:sz w:val="16"/>
          <w:szCs w:val="16"/>
        </w:rPr>
        <w:t>March</w:t>
      </w:r>
      <w:r w:rsidR="00C411FF" w:rsidRPr="001A667F">
        <w:rPr>
          <w:rFonts w:ascii="Arial Narrow" w:hAnsi="Arial Narrow" w:cs="Tahoma"/>
          <w:sz w:val="16"/>
          <w:szCs w:val="16"/>
        </w:rPr>
        <w:t xml:space="preserve"> 202</w:t>
      </w:r>
      <w:r w:rsidR="00A14771" w:rsidRPr="001A667F">
        <w:rPr>
          <w:rFonts w:ascii="Arial Narrow" w:hAnsi="Arial Narrow" w:cs="Tahoma"/>
          <w:sz w:val="16"/>
          <w:szCs w:val="16"/>
        </w:rPr>
        <w:t>4</w:t>
      </w:r>
      <w:r w:rsidR="00C411FF" w:rsidRPr="001A667F">
        <w:rPr>
          <w:rFonts w:ascii="Arial Narrow" w:hAnsi="Arial Narrow" w:cs="Tahoma"/>
          <w:sz w:val="16"/>
          <w:szCs w:val="16"/>
        </w:rPr>
        <w:t xml:space="preserve"> (</w:t>
      </w:r>
      <w:r w:rsidR="00C411FF" w:rsidRPr="001A667F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1A667F">
        <w:rPr>
          <w:rFonts w:ascii="Arial Narrow" w:hAnsi="Arial Narrow" w:cs="Tahoma"/>
          <w:sz w:val="16"/>
          <w:szCs w:val="16"/>
        </w:rPr>
        <w:t>20</w:t>
      </w:r>
      <w:r w:rsidR="00A14771" w:rsidRPr="001A667F">
        <w:rPr>
          <w:rFonts w:ascii="Arial Narrow" w:hAnsi="Arial Narrow" w:cs="Tahoma"/>
          <w:sz w:val="16"/>
          <w:szCs w:val="16"/>
        </w:rPr>
        <w:t>21</w:t>
      </w:r>
      <w:r w:rsidR="00C411FF" w:rsidRPr="001A667F">
        <w:rPr>
          <w:rFonts w:ascii="Arial Narrow" w:hAnsi="Arial Narrow" w:cs="Tahoma"/>
          <w:sz w:val="16"/>
          <w:szCs w:val="16"/>
        </w:rPr>
        <w:t>=100)</w:t>
      </w:r>
    </w:p>
    <w:p w:rsidR="00C520F2" w:rsidRPr="001A667F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1A667F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1A667F" w:rsidRDefault="00EE0AF0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1A667F">
        <w:rPr>
          <w:rFonts w:ascii="Arial Narrow" w:hAnsi="Arial Narrow" w:cs="Tahoma"/>
          <w:b/>
          <w:sz w:val="28"/>
        </w:rPr>
        <w:t>Number of employees in industry</w:t>
      </w:r>
      <w:r w:rsidR="00A22D9B" w:rsidRPr="001A667F">
        <w:rPr>
          <w:rFonts w:ascii="Arial Narrow" w:hAnsi="Arial Narrow" w:cs="Tahoma"/>
          <w:b/>
          <w:sz w:val="28"/>
        </w:rPr>
        <w:t xml:space="preserve"> (</w:t>
      </w:r>
      <w:r w:rsidRPr="001A667F">
        <w:rPr>
          <w:rFonts w:ascii="Arial Narrow" w:hAnsi="Arial Narrow" w:cs="Tahoma"/>
          <w:b/>
          <w:sz w:val="28"/>
        </w:rPr>
        <w:t>Mar</w:t>
      </w:r>
      <w:r w:rsidR="00A22D9B" w:rsidRPr="001A667F">
        <w:rPr>
          <w:rFonts w:ascii="Arial Narrow" w:hAnsi="Arial Narrow" w:cs="Tahoma"/>
          <w:b/>
          <w:sz w:val="28"/>
          <w:szCs w:val="30"/>
        </w:rPr>
        <w:t xml:space="preserve"> 202</w:t>
      </w:r>
      <w:r w:rsidR="00834C43" w:rsidRPr="001A667F">
        <w:rPr>
          <w:rFonts w:ascii="Arial Narrow" w:hAnsi="Arial Narrow" w:cs="Tahoma"/>
          <w:b/>
          <w:sz w:val="28"/>
          <w:szCs w:val="30"/>
        </w:rPr>
        <w:t>4</w:t>
      </w:r>
      <w:r w:rsidR="006E282D" w:rsidRPr="001A667F">
        <w:rPr>
          <w:rFonts w:ascii="Arial Narrow" w:hAnsi="Arial Narrow" w:cs="Tahoma"/>
          <w:b/>
          <w:sz w:val="28"/>
          <w:szCs w:val="30"/>
        </w:rPr>
        <w:t>/</w:t>
      </w:r>
      <w:r w:rsidRPr="001A667F">
        <w:rPr>
          <w:rFonts w:ascii="Arial Narrow" w:hAnsi="Arial Narrow" w:cs="Tahoma"/>
          <w:b/>
          <w:sz w:val="28"/>
        </w:rPr>
        <w:t>Mar</w:t>
      </w:r>
      <w:r w:rsidR="00935795" w:rsidRPr="001A667F">
        <w:rPr>
          <w:rFonts w:ascii="Arial Narrow" w:hAnsi="Arial Narrow" w:cs="Tahoma"/>
          <w:b/>
          <w:sz w:val="28"/>
        </w:rPr>
        <w:t xml:space="preserve"> </w:t>
      </w:r>
      <w:r w:rsidR="00A22D9B" w:rsidRPr="001A667F">
        <w:rPr>
          <w:rFonts w:ascii="Arial Narrow" w:hAnsi="Arial Narrow" w:cs="Tahoma"/>
          <w:b/>
          <w:bCs/>
          <w:sz w:val="28"/>
          <w:szCs w:val="30"/>
        </w:rPr>
        <w:t>202</w:t>
      </w:r>
      <w:r w:rsidR="00A86A82" w:rsidRPr="001A667F">
        <w:rPr>
          <w:rFonts w:ascii="Arial Narrow" w:hAnsi="Arial Narrow" w:cs="Tahoma"/>
          <w:b/>
          <w:bCs/>
          <w:sz w:val="28"/>
          <w:szCs w:val="30"/>
        </w:rPr>
        <w:t>3</w:t>
      </w:r>
      <w:r w:rsidR="00A22D9B" w:rsidRPr="001A667F">
        <w:rPr>
          <w:rFonts w:ascii="Arial Narrow" w:hAnsi="Arial Narrow" w:cs="Tahoma"/>
          <w:b/>
          <w:sz w:val="28"/>
        </w:rPr>
        <w:t xml:space="preserve">) </w:t>
      </w:r>
      <w:r w:rsidRPr="001A667F">
        <w:rPr>
          <w:rFonts w:ascii="Arial Narrow" w:hAnsi="Arial Narrow" w:cs="Tahoma"/>
          <w:b/>
          <w:sz w:val="28"/>
        </w:rPr>
        <w:t>decreased by</w:t>
      </w:r>
      <w:r w:rsidR="00A22D9B" w:rsidRPr="001A667F">
        <w:rPr>
          <w:rFonts w:ascii="Arial Narrow" w:hAnsi="Arial Narrow" w:cs="Tahoma"/>
          <w:b/>
          <w:sz w:val="28"/>
        </w:rPr>
        <w:t xml:space="preserve"> </w:t>
      </w:r>
      <w:r w:rsidR="00A86A82" w:rsidRPr="001A667F">
        <w:rPr>
          <w:rFonts w:ascii="Arial Narrow" w:hAnsi="Arial Narrow" w:cs="Tahoma"/>
          <w:b/>
          <w:sz w:val="28"/>
        </w:rPr>
        <w:t>4</w:t>
      </w:r>
      <w:r w:rsidRPr="001A667F">
        <w:rPr>
          <w:rFonts w:ascii="Arial Narrow" w:hAnsi="Arial Narrow" w:cs="Tahoma"/>
          <w:b/>
          <w:sz w:val="28"/>
        </w:rPr>
        <w:t>.</w:t>
      </w:r>
      <w:r w:rsidR="00A86A82" w:rsidRPr="001A667F">
        <w:rPr>
          <w:rFonts w:ascii="Arial Narrow" w:hAnsi="Arial Narrow" w:cs="Tahoma"/>
          <w:b/>
          <w:sz w:val="28"/>
        </w:rPr>
        <w:t>1</w:t>
      </w:r>
      <w:r w:rsidR="00A22D9B" w:rsidRPr="001A667F">
        <w:rPr>
          <w:rFonts w:ascii="Arial Narrow" w:hAnsi="Arial Narrow" w:cs="Tahoma"/>
          <w:b/>
          <w:sz w:val="28"/>
        </w:rPr>
        <w:t>%</w:t>
      </w:r>
    </w:p>
    <w:p w:rsidR="0097485C" w:rsidRPr="001A667F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2553A5" w:rsidRPr="001A667F" w:rsidRDefault="002553A5" w:rsidP="002553A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1A667F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1A667F">
        <w:rPr>
          <w:rFonts w:ascii="Arial Narrow" w:hAnsi="Arial Narrow" w:cs="Tahoma"/>
          <w:sz w:val="22"/>
          <w:lang w:val="en-US"/>
        </w:rPr>
        <w:t>March</w:t>
      </w:r>
      <w:r w:rsidRPr="001A667F">
        <w:rPr>
          <w:rFonts w:ascii="Arial Narrow" w:hAnsi="Arial Narrow" w:cs="Tahoma"/>
          <w:sz w:val="22"/>
          <w:lang w:val="en-US"/>
        </w:rPr>
        <w:t xml:space="preserve"> 2024, compared to the same month of the previous year, was </w:t>
      </w:r>
      <w:r w:rsidRPr="001A667F">
        <w:rPr>
          <w:rFonts w:ascii="Arial Narrow" w:hAnsi="Arial Narrow" w:cs="Tahoma"/>
          <w:sz w:val="22"/>
          <w:lang w:val="en-US"/>
        </w:rPr>
        <w:t>4.1</w:t>
      </w:r>
      <w:r w:rsidRPr="001A667F">
        <w:rPr>
          <w:rFonts w:ascii="Arial Narrow" w:hAnsi="Arial Narrow" w:cs="Tahoma"/>
          <w:sz w:val="22"/>
          <w:lang w:val="en-US"/>
        </w:rPr>
        <w:t xml:space="preserve">% lower. </w:t>
      </w:r>
    </w:p>
    <w:p w:rsidR="002553A5" w:rsidRPr="001A667F" w:rsidRDefault="002553A5" w:rsidP="002553A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2553A5" w:rsidRPr="001A667F" w:rsidRDefault="002553A5" w:rsidP="002553A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1A667F">
        <w:rPr>
          <w:rFonts w:ascii="Arial Narrow" w:hAnsi="Arial Narrow" w:cs="Tahoma"/>
          <w:sz w:val="22"/>
          <w:lang w:val="en-US"/>
        </w:rPr>
        <w:t xml:space="preserve">Number of employees in </w:t>
      </w:r>
      <w:r w:rsidRPr="001A667F">
        <w:rPr>
          <w:rFonts w:ascii="Arial Narrow" w:hAnsi="Arial Narrow" w:cs="Tahoma"/>
          <w:sz w:val="22"/>
          <w:lang w:val="en-US"/>
        </w:rPr>
        <w:t>March</w:t>
      </w:r>
      <w:r w:rsidRPr="001A667F">
        <w:rPr>
          <w:rFonts w:ascii="Arial Narrow" w:hAnsi="Arial Narrow" w:cs="Tahoma"/>
          <w:sz w:val="22"/>
          <w:lang w:val="en-US"/>
        </w:rPr>
        <w:t xml:space="preserve"> 2024, compared to the 2023 average, was </w:t>
      </w:r>
      <w:r w:rsidRPr="001A667F">
        <w:rPr>
          <w:rFonts w:ascii="Arial Narrow" w:hAnsi="Arial Narrow" w:cs="Tahoma"/>
          <w:sz w:val="22"/>
          <w:lang w:val="en-US"/>
        </w:rPr>
        <w:t>3.3</w:t>
      </w:r>
      <w:r w:rsidRPr="001A667F">
        <w:rPr>
          <w:rFonts w:ascii="Arial Narrow" w:hAnsi="Arial Narrow" w:cs="Tahoma"/>
          <w:sz w:val="22"/>
          <w:lang w:val="en-US"/>
        </w:rPr>
        <w:t xml:space="preserve">% lower, while compared to </w:t>
      </w:r>
      <w:r w:rsidRPr="001A667F">
        <w:rPr>
          <w:rFonts w:ascii="Arial Narrow" w:hAnsi="Arial Narrow" w:cs="Tahoma"/>
          <w:sz w:val="22"/>
          <w:lang w:val="en-US"/>
        </w:rPr>
        <w:t>February 2024 it was 0.8% lower</w:t>
      </w:r>
    </w:p>
    <w:p w:rsidR="00994984" w:rsidRPr="001A667F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1A667F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EC6A4E" w:rsidRPr="001A667F" w:rsidRDefault="003160E9" w:rsidP="00EC6A4E">
      <w:pPr>
        <w:rPr>
          <w:rFonts w:ascii="Arial Narrow" w:hAnsi="Arial Narrow" w:cs="Tahoma"/>
          <w:b/>
          <w:sz w:val="30"/>
          <w:szCs w:val="30"/>
        </w:rPr>
      </w:pPr>
      <w:r w:rsidRPr="001A667F">
        <w:rPr>
          <w:rFonts w:ascii="Arial Narrow" w:hAnsi="Arial Narrow" w:cs="Tahoma"/>
          <w:b/>
          <w:sz w:val="30"/>
          <w:szCs w:val="30"/>
        </w:rPr>
        <w:t>In the period</w:t>
      </w:r>
      <w:r w:rsidR="00EC6A4E" w:rsidRPr="001A667F">
        <w:rPr>
          <w:rFonts w:ascii="Arial Narrow" w:hAnsi="Arial Narrow" w:cs="Tahoma"/>
          <w:b/>
          <w:sz w:val="30"/>
          <w:szCs w:val="30"/>
        </w:rPr>
        <w:t xml:space="preserve"> </w:t>
      </w:r>
      <w:r w:rsidRPr="001A667F">
        <w:rPr>
          <w:rFonts w:ascii="Arial Narrow" w:hAnsi="Arial Narrow" w:cs="Tahoma"/>
          <w:b/>
          <w:sz w:val="30"/>
          <w:szCs w:val="30"/>
        </w:rPr>
        <w:t>January-March</w:t>
      </w:r>
      <w:r w:rsidR="00EC6A4E" w:rsidRPr="001A667F">
        <w:rPr>
          <w:rFonts w:ascii="Arial Narrow" w:hAnsi="Arial Narrow" w:cs="Tahoma"/>
          <w:b/>
          <w:sz w:val="30"/>
          <w:szCs w:val="30"/>
        </w:rPr>
        <w:t xml:space="preserve"> 2024. </w:t>
      </w:r>
      <w:r w:rsidRPr="001A667F">
        <w:rPr>
          <w:rFonts w:ascii="Arial Narrow" w:hAnsi="Arial Narrow" w:cs="Tahoma"/>
          <w:b/>
          <w:sz w:val="30"/>
          <w:szCs w:val="30"/>
        </w:rPr>
        <w:t>the highest value of export was that of export to Croatia</w:t>
      </w:r>
      <w:r w:rsidR="00EC6A4E" w:rsidRPr="001A667F">
        <w:rPr>
          <w:rFonts w:ascii="Arial Narrow" w:hAnsi="Arial Narrow" w:cs="Tahoma"/>
          <w:b/>
          <w:sz w:val="30"/>
          <w:szCs w:val="30"/>
        </w:rPr>
        <w:t xml:space="preserve">, </w:t>
      </w:r>
      <w:r w:rsidRPr="001A667F">
        <w:rPr>
          <w:rFonts w:ascii="Arial Narrow" w:hAnsi="Arial Narrow" w:cs="Tahoma"/>
          <w:b/>
          <w:sz w:val="30"/>
          <w:szCs w:val="30"/>
        </w:rPr>
        <w:t>while the highest value of import was that of import from Serbia</w:t>
      </w:r>
    </w:p>
    <w:p w:rsidR="00EC6A4E" w:rsidRPr="001A667F" w:rsidRDefault="00EC6A4E" w:rsidP="00EC6A4E">
      <w:pPr>
        <w:rPr>
          <w:rFonts w:ascii="Arial Narrow" w:hAnsi="Arial Narrow" w:cs="Tahoma"/>
          <w:sz w:val="22"/>
        </w:rPr>
      </w:pPr>
    </w:p>
    <w:p w:rsidR="00E72CD5" w:rsidRPr="001A667F" w:rsidRDefault="00E72CD5" w:rsidP="00E72CD5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In the period January –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the value of export was </w:t>
      </w:r>
      <w:r w:rsidRPr="001A667F">
        <w:rPr>
          <w:rFonts w:ascii="Arial Narrow" w:hAnsi="Arial Narrow" w:cs="Tahoma"/>
          <w:sz w:val="22"/>
        </w:rPr>
        <w:t>one billion and 180</w:t>
      </w:r>
      <w:r w:rsidRPr="001A667F">
        <w:rPr>
          <w:rFonts w:ascii="Arial Narrow" w:hAnsi="Arial Narrow" w:cs="Tahoma"/>
          <w:sz w:val="22"/>
        </w:rPr>
        <w:t xml:space="preserve"> million KM, which represented a decrease by </w:t>
      </w:r>
      <w:r w:rsidRPr="001A667F">
        <w:rPr>
          <w:rFonts w:ascii="Arial Narrow" w:hAnsi="Arial Narrow" w:cs="Tahoma"/>
          <w:sz w:val="22"/>
        </w:rPr>
        <w:t>12.8</w:t>
      </w:r>
      <w:r w:rsidRPr="001A667F">
        <w:rPr>
          <w:rFonts w:ascii="Arial Narrow" w:hAnsi="Arial Narrow" w:cs="Tahoma"/>
          <w:sz w:val="22"/>
        </w:rPr>
        <w:t xml:space="preserve">% compared to the period January -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2023, while the value of import was one billion and </w:t>
      </w:r>
      <w:r w:rsidRPr="001A667F">
        <w:rPr>
          <w:rFonts w:ascii="Arial Narrow" w:hAnsi="Arial Narrow" w:cs="Tahoma"/>
          <w:sz w:val="22"/>
        </w:rPr>
        <w:t>686</w:t>
      </w:r>
      <w:r w:rsidRPr="001A667F">
        <w:rPr>
          <w:rFonts w:ascii="Arial Narrow" w:hAnsi="Arial Narrow" w:cs="Tahoma"/>
          <w:sz w:val="22"/>
        </w:rPr>
        <w:t xml:space="preserve"> million KM, which represented an increase by </w:t>
      </w:r>
      <w:r w:rsidRPr="001A667F">
        <w:rPr>
          <w:rFonts w:ascii="Arial Narrow" w:hAnsi="Arial Narrow" w:cs="Tahoma"/>
          <w:sz w:val="22"/>
        </w:rPr>
        <w:t>4.1</w:t>
      </w:r>
      <w:r w:rsidRPr="001A667F">
        <w:rPr>
          <w:rFonts w:ascii="Arial Narrow" w:hAnsi="Arial Narrow" w:cs="Tahoma"/>
          <w:sz w:val="22"/>
        </w:rPr>
        <w:t>% compared to the period January -</w:t>
      </w:r>
      <w:r w:rsidRPr="001A667F">
        <w:t xml:space="preserve">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2023. The percentage of coverage of import with export was </w:t>
      </w:r>
      <w:r w:rsidRPr="001A667F">
        <w:rPr>
          <w:rFonts w:ascii="Arial Narrow" w:hAnsi="Arial Narrow" w:cs="Tahoma"/>
          <w:sz w:val="22"/>
        </w:rPr>
        <w:t>70.0</w:t>
      </w:r>
      <w:r w:rsidRPr="001A667F">
        <w:rPr>
          <w:rFonts w:ascii="Arial Narrow" w:hAnsi="Arial Narrow" w:cs="Tahoma"/>
          <w:sz w:val="22"/>
        </w:rPr>
        <w:t>%.</w:t>
      </w:r>
    </w:p>
    <w:p w:rsidR="00E72CD5" w:rsidRPr="001A667F" w:rsidRDefault="00E72CD5" w:rsidP="00EC6A4E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In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the value of export was </w:t>
      </w:r>
      <w:r w:rsidRPr="001A667F">
        <w:rPr>
          <w:rFonts w:ascii="Arial Narrow" w:hAnsi="Arial Narrow" w:cs="Tahoma"/>
          <w:sz w:val="22"/>
        </w:rPr>
        <w:t>424</w:t>
      </w:r>
      <w:r w:rsidRPr="001A667F">
        <w:rPr>
          <w:rFonts w:ascii="Arial Narrow" w:hAnsi="Arial Narrow" w:cs="Tahoma"/>
          <w:sz w:val="22"/>
        </w:rPr>
        <w:t xml:space="preserve"> million KM, which represented a decrease by </w:t>
      </w:r>
      <w:r w:rsidRPr="001A667F">
        <w:rPr>
          <w:rFonts w:ascii="Arial Narrow" w:hAnsi="Arial Narrow" w:cs="Tahoma"/>
          <w:sz w:val="22"/>
        </w:rPr>
        <w:t>11.3</w:t>
      </w:r>
      <w:r w:rsidRPr="001A667F">
        <w:rPr>
          <w:rFonts w:ascii="Arial Narrow" w:hAnsi="Arial Narrow" w:cs="Tahoma"/>
          <w:sz w:val="22"/>
        </w:rPr>
        <w:t xml:space="preserve">% compared to the same month of 2023, while the value of import was </w:t>
      </w:r>
      <w:r w:rsidRPr="001A667F">
        <w:rPr>
          <w:rFonts w:ascii="Arial Narrow" w:hAnsi="Arial Narrow" w:cs="Tahoma"/>
          <w:sz w:val="22"/>
        </w:rPr>
        <w:t>660</w:t>
      </w:r>
      <w:r w:rsidRPr="001A667F">
        <w:rPr>
          <w:rFonts w:ascii="Arial Narrow" w:hAnsi="Arial Narrow" w:cs="Tahoma"/>
          <w:sz w:val="22"/>
        </w:rPr>
        <w:t xml:space="preserve"> million KM, which represented an increase by </w:t>
      </w:r>
      <w:r w:rsidRPr="001A667F">
        <w:rPr>
          <w:rFonts w:ascii="Arial Narrow" w:hAnsi="Arial Narrow" w:cs="Tahoma"/>
          <w:sz w:val="22"/>
        </w:rPr>
        <w:t>0.5</w:t>
      </w:r>
      <w:r w:rsidRPr="001A667F">
        <w:rPr>
          <w:rFonts w:ascii="Arial Narrow" w:hAnsi="Arial Narrow" w:cs="Tahoma"/>
          <w:sz w:val="22"/>
        </w:rPr>
        <w:t xml:space="preserve">% compared to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2023. The percentage of cover</w:t>
      </w:r>
      <w:r w:rsidRPr="001A667F">
        <w:rPr>
          <w:rFonts w:ascii="Arial Narrow" w:hAnsi="Arial Narrow" w:cs="Tahoma"/>
          <w:sz w:val="22"/>
        </w:rPr>
        <w:t>age of import with export was 64.2</w:t>
      </w:r>
      <w:r w:rsidRPr="001A667F">
        <w:rPr>
          <w:rFonts w:ascii="Arial Narrow" w:hAnsi="Arial Narrow" w:cs="Tahoma"/>
          <w:sz w:val="22"/>
        </w:rPr>
        <w:t>%.</w:t>
      </w: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the highest value of export was that of export to Croatia, with </w:t>
      </w:r>
      <w:r w:rsidRPr="001A667F">
        <w:rPr>
          <w:rFonts w:ascii="Arial Narrow" w:hAnsi="Arial Narrow" w:cs="Tahoma"/>
          <w:sz w:val="22"/>
        </w:rPr>
        <w:t>200 million KM or 16.9%, followed by Serbia, with 174 million KM or 14.8</w:t>
      </w:r>
      <w:r w:rsidRPr="001A667F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1A667F">
        <w:rPr>
          <w:rFonts w:ascii="Arial Narrow" w:hAnsi="Arial Narrow" w:cs="Tahoma"/>
          <w:sz w:val="22"/>
        </w:rPr>
        <w:t>262 million KM or 15.5</w:t>
      </w:r>
      <w:r w:rsidRPr="001A667F">
        <w:rPr>
          <w:rFonts w:ascii="Arial Narrow" w:hAnsi="Arial Narrow" w:cs="Tahoma"/>
          <w:sz w:val="22"/>
        </w:rPr>
        <w:t xml:space="preserve">%, followed by Italy, with </w:t>
      </w:r>
      <w:r w:rsidRPr="001A667F">
        <w:rPr>
          <w:rFonts w:ascii="Arial Narrow" w:hAnsi="Arial Narrow" w:cs="Tahoma"/>
          <w:sz w:val="22"/>
        </w:rPr>
        <w:t>258 million KM or 15.3</w:t>
      </w:r>
      <w:r w:rsidRPr="001A667F">
        <w:rPr>
          <w:rFonts w:ascii="Arial Narrow" w:hAnsi="Arial Narrow" w:cs="Tahoma"/>
          <w:sz w:val="22"/>
        </w:rPr>
        <w:t>% of the total realised import.</w:t>
      </w:r>
    </w:p>
    <w:p w:rsidR="00836C70" w:rsidRPr="001A667F" w:rsidRDefault="00836C70" w:rsidP="00836C70">
      <w:pPr>
        <w:jc w:val="both"/>
        <w:rPr>
          <w:rFonts w:ascii="Arial Narrow" w:hAnsi="Arial Narrow" w:cs="Tahoma"/>
          <w:sz w:val="22"/>
        </w:rPr>
      </w:pPr>
    </w:p>
    <w:p w:rsidR="00836C70" w:rsidRPr="001A667F" w:rsidRDefault="00836C70" w:rsidP="00836C7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1A667F">
        <w:rPr>
          <w:rFonts w:ascii="Arial Narrow" w:hAnsi="Arial Narrow" w:cs="Tahoma"/>
          <w:sz w:val="22"/>
        </w:rPr>
        <w:t xml:space="preserve">By group of products, in the period January - </w:t>
      </w:r>
      <w:r w:rsidRPr="001A667F">
        <w:rPr>
          <w:rFonts w:ascii="Arial Narrow" w:hAnsi="Arial Narrow" w:cs="Tahoma"/>
          <w:sz w:val="22"/>
        </w:rPr>
        <w:t>March</w:t>
      </w:r>
      <w:r w:rsidRPr="001A667F">
        <w:rPr>
          <w:rFonts w:ascii="Arial Narrow" w:hAnsi="Arial Narrow" w:cs="Tahoma"/>
          <w:sz w:val="22"/>
        </w:rPr>
        <w:t xml:space="preserve"> 2024, the highest share in export was that of electricity, with the total value of </w:t>
      </w:r>
      <w:r w:rsidRPr="001A667F">
        <w:rPr>
          <w:rFonts w:ascii="Arial Narrow" w:hAnsi="Arial Narrow" w:cs="Tahoma"/>
          <w:sz w:val="22"/>
        </w:rPr>
        <w:t>101</w:t>
      </w:r>
      <w:r w:rsidRPr="001A667F">
        <w:rPr>
          <w:rFonts w:ascii="Arial Narrow" w:hAnsi="Arial Narrow" w:cs="Tahoma"/>
          <w:sz w:val="22"/>
        </w:rPr>
        <w:t xml:space="preserve"> million KM, which was </w:t>
      </w:r>
      <w:r w:rsidRPr="001A667F">
        <w:rPr>
          <w:rFonts w:ascii="Arial Narrow" w:hAnsi="Arial Narrow" w:cs="Tahoma"/>
          <w:sz w:val="22"/>
        </w:rPr>
        <w:t>8.6</w:t>
      </w:r>
      <w:r w:rsidRPr="001A667F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1A667F">
        <w:rPr>
          <w:rFonts w:ascii="Arial Narrow" w:hAnsi="Arial Narrow" w:cs="Tahoma"/>
          <w:sz w:val="22"/>
        </w:rPr>
        <w:t>127</w:t>
      </w:r>
      <w:r w:rsidRPr="001A667F">
        <w:rPr>
          <w:rFonts w:ascii="Arial Narrow" w:hAnsi="Arial Narrow" w:cs="Tahoma"/>
          <w:sz w:val="22"/>
        </w:rPr>
        <w:t xml:space="preserve"> million KM, which was </w:t>
      </w:r>
      <w:r w:rsidRPr="001A667F">
        <w:rPr>
          <w:rFonts w:ascii="Arial Narrow" w:hAnsi="Arial Narrow" w:cs="Tahoma"/>
          <w:sz w:val="22"/>
        </w:rPr>
        <w:t>7.5</w:t>
      </w:r>
      <w:r w:rsidRPr="001A667F">
        <w:rPr>
          <w:rFonts w:ascii="Arial Narrow" w:hAnsi="Arial Narrow" w:cs="Tahoma"/>
          <w:sz w:val="22"/>
        </w:rPr>
        <w:t>% of the total import.</w:t>
      </w:r>
    </w:p>
    <w:p w:rsidR="00EC6A4E" w:rsidRPr="001A667F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EC6A4E" w:rsidRPr="001A667F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1A667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1A667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1A667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1A667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203C97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gramEnd"/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31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203C97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gramEnd"/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bookmarkStart w:id="1" w:name="_GoBack"/>
                      <w:bookmarkEnd w:id="1"/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1A667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45453" w:rsidRPr="001A667F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1A667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4160759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29" type="#_x0000_t202" style="position:absolute;left:0;text-align:left;margin-left:327.6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BK&#10;E1Qd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A667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AX&#10;PYk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A667F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1A667F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1A667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1A667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1A667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1A667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45453" w:rsidRPr="001A667F" w:rsidRDefault="00203C97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1A667F">
        <w:rPr>
          <w:rFonts w:ascii="Arial Narrow" w:hAnsi="Arial Narrow" w:cs="Tahoma"/>
          <w:sz w:val="16"/>
          <w:szCs w:val="22"/>
        </w:rPr>
        <w:t>Graph</w:t>
      </w:r>
      <w:r w:rsidR="00145453" w:rsidRPr="001A667F">
        <w:rPr>
          <w:rFonts w:ascii="Arial Narrow" w:hAnsi="Arial Narrow" w:cs="Tahoma"/>
          <w:sz w:val="16"/>
          <w:szCs w:val="22"/>
        </w:rPr>
        <w:t xml:space="preserve"> 4. </w:t>
      </w:r>
      <w:r w:rsidRPr="001A667F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45453" w:rsidRPr="001A667F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A667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1A667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1A667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1A667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1A667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1A667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1A667F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1A667F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1A667F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1A667F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D504B7" w:rsidRPr="001A667F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1A667F" w:rsidRDefault="003D0F56" w:rsidP="00836C70">
      <w:pPr>
        <w:tabs>
          <w:tab w:val="left" w:pos="2535"/>
        </w:tabs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1A667F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1A667F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A667F" w:rsidRDefault="00203C97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1A667F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1A667F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1A667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1A667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1A667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1A667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1A667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1A667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1A667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1A667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1A667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E1625" w:rsidRPr="001A667F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203C97" w:rsidRPr="001A667F" w:rsidRDefault="00203C97" w:rsidP="00203C97">
            <w:pPr>
              <w:jc w:val="both"/>
            </w:pPr>
            <w:r w:rsidRPr="001A667F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1A667F">
              <w:t xml:space="preserve"> </w:t>
            </w:r>
          </w:p>
          <w:p w:rsidR="00E31BF3" w:rsidRPr="001A667F" w:rsidRDefault="001A667F" w:rsidP="00203C97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1A667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1A667F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1A667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1A667F" w:rsidRDefault="001A667F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1A667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E1625" w:rsidRPr="001A667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0F5C7E" w:rsidRPr="001A667F" w:rsidRDefault="001A667F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1A667F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1A667F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1A66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1A667F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03C97" w:rsidRPr="001A667F" w:rsidRDefault="00203C97" w:rsidP="00203C97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1A667F" w:rsidRDefault="001A667F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1A667F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1A667F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1A667F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1A667F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1A667F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1A667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1A667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1A667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1A667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1A667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1A667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1A667F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1A667F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1A667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1A667F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1A667F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1A667F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A667F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E1625" w:rsidRPr="001A667F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A667F" w:rsidRDefault="00C9325A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E1625" w:rsidRPr="001A667F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5A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C9325A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C9325A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C9325A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C9325A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1A667F" w:rsidRDefault="00C9325A" w:rsidP="00C932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1A667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1A667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1A667F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1A667F" w:rsidRDefault="00C9325A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1A667F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1A667F" w:rsidRDefault="004F6953" w:rsidP="009E2A9A">
      <w:pPr>
        <w:rPr>
          <w:rFonts w:ascii="Tahoma" w:hAnsi="Tahoma" w:cs="Tahoma"/>
          <w:color w:val="000000" w:themeColor="text1"/>
        </w:rPr>
      </w:pPr>
      <w:r w:rsidRPr="001A667F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A667F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A667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A667F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A667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4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4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4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A667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C9325A" w:rsidRDefault="00C9325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C9325A" w:rsidRDefault="00C9325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9325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C9325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C9325A">
            <w:rPr>
              <w:rFonts w:ascii="Arial Narrow" w:hAnsi="Arial Narrow" w:cs="Tahoma"/>
              <w:color w:val="1F497D"/>
              <w:sz w:val="16"/>
              <w:szCs w:val="16"/>
            </w:rPr>
            <w:t xml:space="preserve">April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="00C9325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, </w:t>
          </w:r>
          <w:r w:rsidR="00C9325A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1114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29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663A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7F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C97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3A5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0E9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67B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A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4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C70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D7B46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325A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CD5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AF0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96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4BA8B80A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01_Indeksi%20industrijske%20proizvodnje\Podaci%20za%20grafikon%20za%20MART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1258</c:v>
                </c:pt>
                <c:pt idx="1">
                  <c:v>1265</c:v>
                </c:pt>
                <c:pt idx="2">
                  <c:v>1280</c:v>
                </c:pt>
                <c:pt idx="3">
                  <c:v>1284</c:v>
                </c:pt>
                <c:pt idx="4">
                  <c:v>1278</c:v>
                </c:pt>
                <c:pt idx="5">
                  <c:v>1286</c:v>
                </c:pt>
                <c:pt idx="6">
                  <c:v>1277</c:v>
                </c:pt>
                <c:pt idx="7">
                  <c:v>1290</c:v>
                </c:pt>
                <c:pt idx="8">
                  <c:v>1296</c:v>
                </c:pt>
                <c:pt idx="9">
                  <c:v>1304</c:v>
                </c:pt>
                <c:pt idx="10">
                  <c:v>1312</c:v>
                </c:pt>
                <c:pt idx="11">
                  <c:v>1392</c:v>
                </c:pt>
                <c:pt idx="12" formatCode="General">
                  <c:v>1394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0.5</c:v>
                </c:pt>
                <c:pt idx="1">
                  <c:v>0.3</c:v>
                </c:pt>
                <c:pt idx="2">
                  <c:v>-0.1</c:v>
                </c:pt>
                <c:pt idx="3">
                  <c:v>0.1</c:v>
                </c:pt>
                <c:pt idx="4">
                  <c:v>-0.1</c:v>
                </c:pt>
                <c:pt idx="5">
                  <c:v>1.1000000000000001</c:v>
                </c:pt>
                <c:pt idx="6">
                  <c:v>0.8</c:v>
                </c:pt>
                <c:pt idx="7">
                  <c:v>0</c:v>
                </c:pt>
                <c:pt idx="8">
                  <c:v>-0.2</c:v>
                </c:pt>
                <c:pt idx="9">
                  <c:v>-0.3</c:v>
                </c:pt>
                <c:pt idx="10">
                  <c:v>0.3</c:v>
                </c:pt>
                <c:pt idx="11">
                  <c:v>0.5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2023</c:v>
                  </c:pt>
                  <c:pt idx="10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10.4</c:v>
                </c:pt>
                <c:pt idx="1">
                  <c:v>9</c:v>
                </c:pt>
                <c:pt idx="2">
                  <c:v>7.3</c:v>
                </c:pt>
                <c:pt idx="3">
                  <c:v>6.2</c:v>
                </c:pt>
                <c:pt idx="4">
                  <c:v>5.2</c:v>
                </c:pt>
                <c:pt idx="5">
                  <c:v>5.9</c:v>
                </c:pt>
                <c:pt idx="6">
                  <c:v>5.7</c:v>
                </c:pt>
                <c:pt idx="7">
                  <c:v>3.8</c:v>
                </c:pt>
                <c:pt idx="8">
                  <c:v>3.1</c:v>
                </c:pt>
                <c:pt idx="9">
                  <c:v>3.3</c:v>
                </c:pt>
                <c:pt idx="10">
                  <c:v>3</c:v>
                </c:pt>
                <c:pt idx="11">
                  <c:v>2.8</c:v>
                </c:pt>
                <c:pt idx="12">
                  <c:v>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  <c:pt idx="22">
                    <c:v>2022</c:v>
                  </c:pt>
                  <c:pt idx="34">
                    <c:v>2023</c:v>
                  </c:pt>
                  <c:pt idx="46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94.109750175629998</c:v>
                </c:pt>
                <c:pt idx="1">
                  <c:v>79.146595960067728</c:v>
                </c:pt>
                <c:pt idx="2">
                  <c:v>83.105268028949325</c:v>
                </c:pt>
                <c:pt idx="3">
                  <c:v>86.049980922573425</c:v>
                </c:pt>
                <c:pt idx="4">
                  <c:v>95.263543766447299</c:v>
                </c:pt>
                <c:pt idx="5">
                  <c:v>90.66540711629699</c:v>
                </c:pt>
                <c:pt idx="6">
                  <c:v>92.274086472281752</c:v>
                </c:pt>
                <c:pt idx="7">
                  <c:v>96.433540293671371</c:v>
                </c:pt>
                <c:pt idx="8">
                  <c:v>101.10679665824551</c:v>
                </c:pt>
                <c:pt idx="9">
                  <c:v>107.277828672833</c:v>
                </c:pt>
                <c:pt idx="10">
                  <c:v>84.605285697839818</c:v>
                </c:pt>
                <c:pt idx="11">
                  <c:v>96.695130221327375</c:v>
                </c:pt>
                <c:pt idx="12">
                  <c:v>104.53428978554979</c:v>
                </c:pt>
                <c:pt idx="13">
                  <c:v>95.466048835027692</c:v>
                </c:pt>
                <c:pt idx="14">
                  <c:v>95.422276335064311</c:v>
                </c:pt>
                <c:pt idx="15">
                  <c:v>103.59705252926368</c:v>
                </c:pt>
                <c:pt idx="16">
                  <c:v>99.927350229614675</c:v>
                </c:pt>
                <c:pt idx="17">
                  <c:v>95.534497711135486</c:v>
                </c:pt>
                <c:pt idx="18">
                  <c:v>98.459693016715889</c:v>
                </c:pt>
                <c:pt idx="19">
                  <c:v>99.184389833600221</c:v>
                </c:pt>
                <c:pt idx="20">
                  <c:v>112.21573167244283</c:v>
                </c:pt>
                <c:pt idx="21">
                  <c:v>114.35825413241822</c:v>
                </c:pt>
                <c:pt idx="22">
                  <c:v>84.74403719082315</c:v>
                </c:pt>
                <c:pt idx="23">
                  <c:v>92.448178852317227</c:v>
                </c:pt>
                <c:pt idx="24">
                  <c:v>110.24914409515469</c:v>
                </c:pt>
                <c:pt idx="25">
                  <c:v>102.38462326582132</c:v>
                </c:pt>
                <c:pt idx="26">
                  <c:v>102.95154587803206</c:v>
                </c:pt>
                <c:pt idx="27">
                  <c:v>102.97483344515751</c:v>
                </c:pt>
                <c:pt idx="28">
                  <c:v>97.334808105768516</c:v>
                </c:pt>
                <c:pt idx="29">
                  <c:v>97.073048401149634</c:v>
                </c:pt>
                <c:pt idx="30">
                  <c:v>94.859643188387494</c:v>
                </c:pt>
                <c:pt idx="31">
                  <c:v>99.374815039125551</c:v>
                </c:pt>
                <c:pt idx="32">
                  <c:v>106.58707451957088</c:v>
                </c:pt>
                <c:pt idx="33">
                  <c:v>107.35253423612269</c:v>
                </c:pt>
                <c:pt idx="34">
                  <c:v>88.890231466673299</c:v>
                </c:pt>
                <c:pt idx="35">
                  <c:v>89.965981551088987</c:v>
                </c:pt>
                <c:pt idx="36">
                  <c:v>108.15668412105485</c:v>
                </c:pt>
                <c:pt idx="37">
                  <c:v>94.697326270275241</c:v>
                </c:pt>
                <c:pt idx="38">
                  <c:v>98.486625263594775</c:v>
                </c:pt>
                <c:pt idx="39">
                  <c:v>95.33925541710461</c:v>
                </c:pt>
                <c:pt idx="40">
                  <c:v>97.103467183022275</c:v>
                </c:pt>
                <c:pt idx="41">
                  <c:v>94.891942864116572</c:v>
                </c:pt>
                <c:pt idx="42">
                  <c:v>98.153380540169053</c:v>
                </c:pt>
                <c:pt idx="43">
                  <c:v>98.983884133983395</c:v>
                </c:pt>
                <c:pt idx="44">
                  <c:v>95.273160973207808</c:v>
                </c:pt>
                <c:pt idx="45">
                  <c:v>100.76992757674772</c:v>
                </c:pt>
                <c:pt idx="46">
                  <c:v>82.004419100000007</c:v>
                </c:pt>
                <c:pt idx="47">
                  <c:v>91.242519200000004</c:v>
                </c:pt>
                <c:pt idx="48">
                  <c:v>96.138924200000005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60-490B-8CCD-798F822EE33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  <c:pt idx="22">
                    <c:v>2022</c:v>
                  </c:pt>
                  <c:pt idx="34">
                    <c:v>2023</c:v>
                  </c:pt>
                  <c:pt idx="46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89.194517044128872</c:v>
                </c:pt>
                <c:pt idx="1">
                  <c:v>86.805301499353604</c:v>
                </c:pt>
                <c:pt idx="2">
                  <c:v>86.061086381493837</c:v>
                </c:pt>
                <c:pt idx="3">
                  <c:v>87.423966840597046</c:v>
                </c:pt>
                <c:pt idx="4">
                  <c:v>89.77807620962804</c:v>
                </c:pt>
                <c:pt idx="5">
                  <c:v>91.284313702887786</c:v>
                </c:pt>
                <c:pt idx="6">
                  <c:v>91.854733276054645</c:v>
                </c:pt>
                <c:pt idx="7">
                  <c:v>92.817035097593674</c:v>
                </c:pt>
                <c:pt idx="8">
                  <c:v>94.762557669933301</c:v>
                </c:pt>
                <c:pt idx="9">
                  <c:v>97.336404284623057</c:v>
                </c:pt>
                <c:pt idx="10">
                  <c:v>99.836194828840931</c:v>
                </c:pt>
                <c:pt idx="11">
                  <c:v>101.47139556376709</c:v>
                </c:pt>
                <c:pt idx="12">
                  <c:v>101.49300064068558</c:v>
                </c:pt>
                <c:pt idx="13">
                  <c:v>100.4559647695047</c:v>
                </c:pt>
                <c:pt idx="14">
                  <c:v>99.583456753036245</c:v>
                </c:pt>
                <c:pt idx="15">
                  <c:v>99.118132307413049</c:v>
                </c:pt>
                <c:pt idx="16">
                  <c:v>98.397869926736902</c:v>
                </c:pt>
                <c:pt idx="17">
                  <c:v>97.548455075239829</c:v>
                </c:pt>
                <c:pt idx="18">
                  <c:v>97.310134127416163</c:v>
                </c:pt>
                <c:pt idx="19">
                  <c:v>98.433439865415622</c:v>
                </c:pt>
                <c:pt idx="20">
                  <c:v>100.60751753716389</c:v>
                </c:pt>
                <c:pt idx="21">
                  <c:v>101.81864108802999</c:v>
                </c:pt>
                <c:pt idx="22">
                  <c:v>101.94244212786438</c:v>
                </c:pt>
                <c:pt idx="23">
                  <c:v>102.88659750677321</c:v>
                </c:pt>
                <c:pt idx="24">
                  <c:v>104.6178763385528</c:v>
                </c:pt>
                <c:pt idx="25">
                  <c:v>105.17176933637089</c:v>
                </c:pt>
                <c:pt idx="26">
                  <c:v>103.64471668062325</c:v>
                </c:pt>
                <c:pt idx="27">
                  <c:v>100.84502686220732</c:v>
                </c:pt>
                <c:pt idx="28">
                  <c:v>98.29090042933116</c:v>
                </c:pt>
                <c:pt idx="29">
                  <c:v>96.653555791603239</c:v>
                </c:pt>
                <c:pt idx="30">
                  <c:v>95.754124639506472</c:v>
                </c:pt>
                <c:pt idx="31">
                  <c:v>96.170887394002349</c:v>
                </c:pt>
                <c:pt idx="32">
                  <c:v>97.691886378497159</c:v>
                </c:pt>
                <c:pt idx="33">
                  <c:v>99.370183109712613</c:v>
                </c:pt>
                <c:pt idx="34">
                  <c:v>100.56477813468884</c:v>
                </c:pt>
                <c:pt idx="35">
                  <c:v>101.14057634267266</c:v>
                </c:pt>
                <c:pt idx="36">
                  <c:v>101.23959833714787</c:v>
                </c:pt>
                <c:pt idx="37">
                  <c:v>100.2760694431288</c:v>
                </c:pt>
                <c:pt idx="38">
                  <c:v>98.361943815074667</c:v>
                </c:pt>
                <c:pt idx="39">
                  <c:v>96.521518240021294</c:v>
                </c:pt>
                <c:pt idx="40">
                  <c:v>95.747378644636584</c:v>
                </c:pt>
                <c:pt idx="41">
                  <c:v>95.61390962597261</c:v>
                </c:pt>
                <c:pt idx="42">
                  <c:v>94.915084613688038</c:v>
                </c:pt>
                <c:pt idx="43">
                  <c:v>93.456994833324643</c:v>
                </c:pt>
                <c:pt idx="44">
                  <c:v>92.450846443196355</c:v>
                </c:pt>
                <c:pt idx="45">
                  <c:v>93.146666936594414</c:v>
                </c:pt>
                <c:pt idx="46">
                  <c:v>94.814213078749589</c:v>
                </c:pt>
                <c:pt idx="47">
                  <c:v>95.673691049170742</c:v>
                </c:pt>
                <c:pt idx="48">
                  <c:v>95.162764352754124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60-490B-8CCD-798F822EE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'Mart_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'Mart_ 2024'!$B$1:$N$1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2024'!$B$2:$N$2</c:f>
              <c:numCache>
                <c:formatCode>0</c:formatCode>
                <c:ptCount val="13"/>
                <c:pt idx="0">
                  <c:v>656752</c:v>
                </c:pt>
                <c:pt idx="1">
                  <c:v>561542</c:v>
                </c:pt>
                <c:pt idx="2">
                  <c:v>604196</c:v>
                </c:pt>
                <c:pt idx="3">
                  <c:v>639973</c:v>
                </c:pt>
                <c:pt idx="4">
                  <c:v>603328</c:v>
                </c:pt>
                <c:pt idx="5">
                  <c:v>569066</c:v>
                </c:pt>
                <c:pt idx="6">
                  <c:v>631740</c:v>
                </c:pt>
                <c:pt idx="7">
                  <c:v>600367</c:v>
                </c:pt>
                <c:pt idx="8">
                  <c:v>599184</c:v>
                </c:pt>
                <c:pt idx="9">
                  <c:v>610942</c:v>
                </c:pt>
                <c:pt idx="10">
                  <c:v>436764</c:v>
                </c:pt>
                <c:pt idx="11">
                  <c:v>588899</c:v>
                </c:pt>
                <c:pt idx="12">
                  <c:v>660075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'Mart_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'Mart_ 2024'!$B$1:$N$1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2024'!$B$3:$N$3</c:f>
              <c:numCache>
                <c:formatCode>0</c:formatCode>
                <c:ptCount val="13"/>
                <c:pt idx="0">
                  <c:v>478202</c:v>
                </c:pt>
                <c:pt idx="1">
                  <c:v>439211</c:v>
                </c:pt>
                <c:pt idx="2">
                  <c:v>435240</c:v>
                </c:pt>
                <c:pt idx="3">
                  <c:v>450242</c:v>
                </c:pt>
                <c:pt idx="4">
                  <c:v>431598</c:v>
                </c:pt>
                <c:pt idx="5">
                  <c:v>348940</c:v>
                </c:pt>
                <c:pt idx="6">
                  <c:v>456818</c:v>
                </c:pt>
                <c:pt idx="7">
                  <c:v>441048</c:v>
                </c:pt>
                <c:pt idx="8">
                  <c:v>444027</c:v>
                </c:pt>
                <c:pt idx="9">
                  <c:v>384160</c:v>
                </c:pt>
                <c:pt idx="10">
                  <c:v>349783</c:v>
                </c:pt>
                <c:pt idx="11">
                  <c:v>406385</c:v>
                </c:pt>
                <c:pt idx="12">
                  <c:v>424097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4D7A-DFDA-4757-B8F9-8516CF16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1174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8035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58</cp:revision>
  <cp:lastPrinted>2020-06-17T08:46:00Z</cp:lastPrinted>
  <dcterms:created xsi:type="dcterms:W3CDTF">2024-03-21T06:55:00Z</dcterms:created>
  <dcterms:modified xsi:type="dcterms:W3CDTF">2024-04-22T07:03:00Z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