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FA026E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FA026E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A026E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FA026E">
              <w:rPr>
                <w:rFonts w:ascii="Tahoma" w:hAnsi="Tahoma" w:cs="Tahoma"/>
              </w:rPr>
              <w:br w:type="column"/>
            </w:r>
            <w:r w:rsidRPr="00FA026E">
              <w:rPr>
                <w:rFonts w:ascii="Tahoma" w:hAnsi="Tahoma" w:cs="Tahoma"/>
              </w:rPr>
              <w:br w:type="column"/>
            </w:r>
            <w:r w:rsidRPr="00FA026E">
              <w:rPr>
                <w:rFonts w:ascii="Tahoma" w:hAnsi="Tahoma" w:cs="Tahoma"/>
              </w:rPr>
              <w:br w:type="page"/>
            </w:r>
            <w:r w:rsidRPr="00FA026E">
              <w:rPr>
                <w:rFonts w:ascii="Tahoma" w:hAnsi="Tahoma" w:cs="Tahoma"/>
              </w:rPr>
              <w:br w:type="page"/>
            </w:r>
            <w:r w:rsidR="004F6953" w:rsidRPr="00FA026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FA026E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A026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FA026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FA026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FA026E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FA026E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FA026E" w:rsidRDefault="004551B9" w:rsidP="00BE412C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</w:rPr>
            </w:pPr>
            <w:r w:rsidRPr="00FA026E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FA026E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FA026E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FA026E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FA026E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BE412C" w:rsidRPr="00FA026E">
              <w:rPr>
                <w:rFonts w:ascii="Arial Narrow" w:hAnsi="Arial Narrow" w:cs="Tahoma"/>
                <w:color w:val="44546A" w:themeColor="text2"/>
                <w:sz w:val="16"/>
              </w:rPr>
              <w:t>4</w:t>
            </w:r>
            <w:r w:rsidR="005C64CD" w:rsidRPr="00FA026E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January</w:t>
            </w:r>
            <w:r w:rsidR="00431915" w:rsidRPr="00FA026E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20</w:t>
            </w:r>
            <w:r w:rsidR="00B2367E" w:rsidRPr="00FA026E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975971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5C64CD" w:rsidRPr="00FA026E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, No</w:t>
            </w:r>
            <w:r w:rsidR="00431915" w:rsidRPr="00FA026E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BE412C" w:rsidRPr="00FA026E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12</w:t>
            </w:r>
            <w:r w:rsidR="00431915" w:rsidRPr="00FA026E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FA026E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BE412C" w:rsidRPr="00FA026E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F6075A" w:rsidRPr="00FA026E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4C20B5" w:rsidRPr="00FA026E" w:rsidTr="005074F6">
        <w:trPr>
          <w:cantSplit/>
        </w:trPr>
        <w:tc>
          <w:tcPr>
            <w:tcW w:w="5251" w:type="dxa"/>
            <w:vAlign w:val="center"/>
          </w:tcPr>
          <w:p w:rsidR="005D5311" w:rsidRPr="00FA026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A026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FA026E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FA026E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FA026E" w:rsidRDefault="005C64CD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</w:rPr>
            </w:pPr>
            <w:r w:rsidRPr="00FA026E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</w:p>
        </w:tc>
      </w:tr>
      <w:tr w:rsidR="004C20B5" w:rsidRPr="00FA026E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FA026E" w:rsidRDefault="005C64CD" w:rsidP="006E476F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</w:rPr>
            </w:pPr>
            <w:r w:rsidRPr="00FA026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January</w:t>
            </w:r>
            <w:r w:rsidR="00353834" w:rsidRPr="00FA026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20</w:t>
            </w:r>
            <w:r w:rsidR="00B2367E" w:rsidRPr="00FA026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2</w:t>
            </w:r>
            <w:r w:rsidR="00975971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2</w:t>
            </w:r>
          </w:p>
        </w:tc>
      </w:tr>
    </w:tbl>
    <w:p w:rsidR="000F689B" w:rsidRPr="00FA026E" w:rsidRDefault="000F689B" w:rsidP="000F689B">
      <w:pPr>
        <w:jc w:val="both"/>
        <w:rPr>
          <w:rFonts w:ascii="Arial Narrow" w:hAnsi="Arial Narrow"/>
          <w:spacing w:val="-2"/>
          <w:sz w:val="22"/>
          <w:szCs w:val="24"/>
        </w:rPr>
      </w:pPr>
    </w:p>
    <w:p w:rsidR="00E33D13" w:rsidRPr="00FA026E" w:rsidRDefault="00BE7368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FA026E">
        <w:rPr>
          <w:rFonts w:ascii="Arial Narrow" w:hAnsi="Arial Narrow" w:cs="Tahoma"/>
          <w:b/>
          <w:bCs/>
          <w:sz w:val="30"/>
          <w:szCs w:val="30"/>
          <w:lang w:eastAsia="sr-Latn-BA"/>
        </w:rPr>
        <w:t>Record value of average after-tax wage in December</w:t>
      </w:r>
      <w:r w:rsidR="004D737B" w:rsidRPr="00FA026E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Pr="00FA026E">
        <w:rPr>
          <w:rFonts w:ascii="Arial Narrow" w:hAnsi="Arial Narrow" w:cs="Tahoma"/>
          <w:b/>
          <w:bCs/>
          <w:sz w:val="30"/>
          <w:szCs w:val="30"/>
          <w:lang w:eastAsia="sr-Latn-BA"/>
        </w:rPr>
        <w:t>–</w:t>
      </w:r>
      <w:r w:rsidR="00E33D13" w:rsidRPr="00FA026E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D11D67" w:rsidRPr="00FA026E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Pr="00FA026E">
        <w:rPr>
          <w:rFonts w:ascii="Arial Narrow" w:hAnsi="Arial Narrow" w:cs="Tahoma"/>
          <w:b/>
          <w:bCs/>
          <w:sz w:val="30"/>
          <w:szCs w:val="30"/>
          <w:lang w:eastAsia="sr-Latn-BA"/>
        </w:rPr>
        <w:t>,</w:t>
      </w:r>
      <w:r w:rsidR="007D6461" w:rsidRPr="00FA026E">
        <w:rPr>
          <w:rFonts w:ascii="Arial Narrow" w:hAnsi="Arial Narrow" w:cs="Tahoma"/>
          <w:b/>
          <w:bCs/>
          <w:sz w:val="30"/>
          <w:szCs w:val="30"/>
          <w:lang w:eastAsia="sr-Latn-BA"/>
        </w:rPr>
        <w:t>0</w:t>
      </w:r>
      <w:r w:rsidR="00F207B3" w:rsidRPr="00FA026E">
        <w:rPr>
          <w:rFonts w:ascii="Arial Narrow" w:hAnsi="Arial Narrow" w:cs="Tahoma"/>
          <w:b/>
          <w:bCs/>
          <w:sz w:val="30"/>
          <w:szCs w:val="30"/>
          <w:lang w:eastAsia="sr-Latn-BA"/>
        </w:rPr>
        <w:t>3</w:t>
      </w:r>
      <w:r w:rsidR="00820BC0" w:rsidRPr="00FA026E">
        <w:rPr>
          <w:rFonts w:ascii="Arial Narrow" w:hAnsi="Arial Narrow" w:cs="Tahoma"/>
          <w:b/>
          <w:bCs/>
          <w:sz w:val="30"/>
          <w:szCs w:val="30"/>
          <w:lang w:eastAsia="sr-Latn-BA"/>
        </w:rPr>
        <w:t>8</w:t>
      </w:r>
      <w:r w:rsidR="00E33D13" w:rsidRPr="00FA026E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E33D13" w:rsidRPr="00FA026E" w:rsidRDefault="00BE7368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32"/>
        </w:rPr>
      </w:pPr>
      <w:r w:rsidRPr="00FA026E">
        <w:rPr>
          <w:rFonts w:ascii="Arial Narrow" w:hAnsi="Arial Narrow" w:cs="Tahoma"/>
          <w:b/>
          <w:sz w:val="28"/>
        </w:rPr>
        <w:t>Average after-tax wage in</w:t>
      </w:r>
      <w:r w:rsidR="000F2395" w:rsidRPr="00FA026E">
        <w:rPr>
          <w:rFonts w:ascii="Arial Narrow" w:hAnsi="Arial Narrow" w:cs="Tahoma"/>
          <w:b/>
          <w:sz w:val="28"/>
        </w:rPr>
        <w:t xml:space="preserve"> 2021</w:t>
      </w:r>
      <w:r w:rsidRPr="00FA026E">
        <w:rPr>
          <w:rFonts w:ascii="Arial Narrow" w:hAnsi="Arial Narrow" w:cs="Tahoma"/>
          <w:b/>
          <w:sz w:val="28"/>
        </w:rPr>
        <w:t xml:space="preserve"> amounted to 1,</w:t>
      </w:r>
      <w:r w:rsidR="000F2395" w:rsidRPr="00FA026E">
        <w:rPr>
          <w:rFonts w:ascii="Arial Narrow" w:hAnsi="Arial Narrow" w:cs="Tahoma"/>
          <w:b/>
          <w:sz w:val="28"/>
        </w:rPr>
        <w:t>004 КМ</w:t>
      </w:r>
    </w:p>
    <w:p w:rsidR="004707B2" w:rsidRPr="00FA026E" w:rsidRDefault="004707B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FF67A4" w:rsidRPr="00FA026E" w:rsidRDefault="00FF67A4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FA026E">
        <w:rPr>
          <w:rFonts w:ascii="Arial Narrow" w:hAnsi="Arial Narrow" w:cs="Tahoma"/>
          <w:sz w:val="22"/>
        </w:rPr>
        <w:t>Average monthly after-tax wage in Republika Srpska paid in December 2021 amounted to 1,038 KM; once again, this is the highest average after-tax wage by month recorded so far.</w:t>
      </w:r>
    </w:p>
    <w:p w:rsidR="00E32297" w:rsidRPr="00FA026E" w:rsidRDefault="00E32297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FE4314" w:rsidRPr="00FA026E" w:rsidRDefault="00FE4314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FA026E">
        <w:rPr>
          <w:rFonts w:ascii="Arial Narrow" w:hAnsi="Arial Narrow" w:cs="Tahoma"/>
          <w:sz w:val="22"/>
        </w:rPr>
        <w:t>Average after-tax wage paid in December 2021, compared to the same month of the previous year, was nominally 6.0% higher and really 0.1% higher, while compared to November 2021 it was nominally 0.8% higher and really 0.3% higher. Average monthly gross wage amounted to 1,587 KM.</w:t>
      </w:r>
    </w:p>
    <w:p w:rsidR="003B028E" w:rsidRPr="00FA026E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811FD5" w:rsidRPr="00FA026E" w:rsidRDefault="00811FD5" w:rsidP="00811FD5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FA026E">
        <w:rPr>
          <w:rFonts w:ascii="Arial Narrow" w:hAnsi="Arial Narrow" w:cs="Tahoma"/>
          <w:sz w:val="22"/>
        </w:rPr>
        <w:t xml:space="preserve">In December 2021, the highest average after-tax wage, by section of economic activities, was paid in the section </w:t>
      </w:r>
      <w:r w:rsidRPr="00FA026E">
        <w:rPr>
          <w:rFonts w:ascii="Arial Narrow" w:hAnsi="Arial Narrow" w:cs="Tahoma"/>
          <w:i/>
          <w:sz w:val="22"/>
        </w:rPr>
        <w:t>Financial and insurance activities</w:t>
      </w:r>
      <w:r w:rsidRPr="00FA026E">
        <w:rPr>
          <w:rFonts w:ascii="Arial Narrow" w:hAnsi="Arial Narrow" w:cs="Tahoma"/>
          <w:sz w:val="22"/>
        </w:rPr>
        <w:t xml:space="preserve"> and it amounted to 1,602 KM. On the other hand, the lowest average after-tax wage in December 2021 was the one paid in the section </w:t>
      </w:r>
      <w:r w:rsidRPr="00FA026E">
        <w:rPr>
          <w:rFonts w:ascii="Arial Narrow" w:hAnsi="Arial Narrow" w:cs="Tahoma"/>
          <w:i/>
          <w:sz w:val="22"/>
        </w:rPr>
        <w:t>Construction</w:t>
      </w:r>
      <w:r w:rsidRPr="00FA026E">
        <w:rPr>
          <w:rFonts w:ascii="Arial Narrow" w:hAnsi="Arial Narrow" w:cs="Tahoma"/>
          <w:sz w:val="22"/>
        </w:rPr>
        <w:t>, 760 KM.</w:t>
      </w:r>
    </w:p>
    <w:p w:rsidR="00E33D13" w:rsidRPr="00FA026E" w:rsidRDefault="00E33D13" w:rsidP="00E33D13">
      <w:pPr>
        <w:jc w:val="both"/>
        <w:rPr>
          <w:rFonts w:ascii="Arial Narrow" w:hAnsi="Arial Narrow" w:cs="Tahoma"/>
          <w:sz w:val="22"/>
        </w:rPr>
      </w:pPr>
    </w:p>
    <w:p w:rsidR="00AF6465" w:rsidRPr="00FA026E" w:rsidRDefault="00AF6465" w:rsidP="00AF6465">
      <w:pPr>
        <w:jc w:val="both"/>
        <w:rPr>
          <w:rFonts w:ascii="Arial Narrow" w:hAnsi="Arial Narrow" w:cs="Tahoma"/>
          <w:sz w:val="22"/>
        </w:rPr>
      </w:pPr>
      <w:r w:rsidRPr="00FA026E">
        <w:rPr>
          <w:rFonts w:ascii="Arial Narrow" w:hAnsi="Arial Narrow" w:cs="Tahoma"/>
          <w:sz w:val="22"/>
        </w:rPr>
        <w:t xml:space="preserve">In December 2021, compared to December 2020, a nominal increase in after-tax wages was recorded in 18 of 19 sections of economic activities, with the highest increase being recorded in the sections </w:t>
      </w:r>
      <w:r w:rsidRPr="00FA026E">
        <w:rPr>
          <w:rFonts w:ascii="Arial Narrow" w:hAnsi="Arial Narrow" w:cs="Tahoma"/>
          <w:i/>
          <w:sz w:val="22"/>
        </w:rPr>
        <w:t xml:space="preserve">Administrative and support service activities </w:t>
      </w:r>
      <w:r w:rsidRPr="00FA026E">
        <w:rPr>
          <w:rFonts w:ascii="Arial Narrow" w:hAnsi="Arial Narrow" w:cs="Tahoma"/>
          <w:sz w:val="22"/>
        </w:rPr>
        <w:t xml:space="preserve">34.6%, </w:t>
      </w:r>
      <w:r w:rsidRPr="00FA026E">
        <w:rPr>
          <w:rFonts w:ascii="Arial Narrow" w:hAnsi="Arial Narrow" w:cs="Tahoma"/>
          <w:i/>
          <w:sz w:val="22"/>
        </w:rPr>
        <w:t xml:space="preserve">Real estate activities </w:t>
      </w:r>
      <w:r w:rsidRPr="00FA026E">
        <w:rPr>
          <w:rFonts w:ascii="Arial Narrow" w:hAnsi="Arial Narrow" w:cs="Tahoma"/>
          <w:sz w:val="22"/>
        </w:rPr>
        <w:t xml:space="preserve">14.9% and </w:t>
      </w:r>
      <w:r w:rsidRPr="00FA026E">
        <w:rPr>
          <w:rFonts w:ascii="Arial Narrow" w:hAnsi="Arial Narrow" w:cs="Tahoma"/>
          <w:i/>
          <w:sz w:val="22"/>
        </w:rPr>
        <w:t>Construction</w:t>
      </w:r>
      <w:r w:rsidRPr="00FA026E">
        <w:rPr>
          <w:rFonts w:ascii="Arial Narrow" w:hAnsi="Arial Narrow" w:cs="Tahoma"/>
          <w:sz w:val="22"/>
        </w:rPr>
        <w:t xml:space="preserve"> 14.3%.</w:t>
      </w:r>
    </w:p>
    <w:p w:rsidR="00AF6465" w:rsidRPr="00FA026E" w:rsidRDefault="00AF6465" w:rsidP="00E33D13">
      <w:pPr>
        <w:jc w:val="both"/>
        <w:rPr>
          <w:rFonts w:ascii="Arial Narrow" w:hAnsi="Arial Narrow" w:cs="Tahoma"/>
          <w:sz w:val="22"/>
        </w:rPr>
      </w:pPr>
    </w:p>
    <w:p w:rsidR="00F207B3" w:rsidRPr="00FA026E" w:rsidRDefault="00497DAF" w:rsidP="001D461A">
      <w:pPr>
        <w:jc w:val="both"/>
        <w:rPr>
          <w:rFonts w:ascii="Arial Narrow" w:hAnsi="Arial Narrow" w:cs="Tahoma"/>
          <w:sz w:val="22"/>
          <w:szCs w:val="22"/>
        </w:rPr>
      </w:pPr>
      <w:r w:rsidRPr="00FA026E">
        <w:rPr>
          <w:rFonts w:ascii="Arial Narrow" w:hAnsi="Arial Narrow" w:cs="Tahoma"/>
          <w:sz w:val="22"/>
          <w:szCs w:val="22"/>
        </w:rPr>
        <w:t xml:space="preserve">In December 2021, compared to December 2020, a nominal decrease in after-tax wages was recorded only in the section </w:t>
      </w:r>
      <w:r w:rsidRPr="00FA026E">
        <w:rPr>
          <w:rFonts w:ascii="Arial Narrow" w:hAnsi="Arial Narrow" w:cs="Tahoma"/>
          <w:i/>
          <w:sz w:val="22"/>
          <w:szCs w:val="22"/>
        </w:rPr>
        <w:t>Information and communication</w:t>
      </w:r>
      <w:r w:rsidRPr="00FA026E">
        <w:rPr>
          <w:rFonts w:ascii="Arial Narrow" w:hAnsi="Arial Narrow" w:cs="Tahoma"/>
          <w:sz w:val="22"/>
          <w:szCs w:val="22"/>
        </w:rPr>
        <w:t xml:space="preserve">, by 6.5%. </w:t>
      </w:r>
    </w:p>
    <w:p w:rsidR="00694584" w:rsidRPr="00FA026E" w:rsidRDefault="00694584" w:rsidP="001D461A">
      <w:pPr>
        <w:jc w:val="both"/>
        <w:rPr>
          <w:rFonts w:ascii="Arial Narrow" w:hAnsi="Arial Narrow" w:cs="Tahoma"/>
          <w:sz w:val="22"/>
          <w:szCs w:val="22"/>
        </w:rPr>
      </w:pPr>
    </w:p>
    <w:p w:rsidR="00497DAF" w:rsidRPr="00FA026E" w:rsidRDefault="00796D74" w:rsidP="001D461A">
      <w:pPr>
        <w:jc w:val="both"/>
        <w:rPr>
          <w:rFonts w:ascii="Arial Narrow" w:hAnsi="Arial Narrow" w:cs="Tahoma"/>
          <w:sz w:val="22"/>
          <w:szCs w:val="22"/>
        </w:rPr>
      </w:pPr>
      <w:r w:rsidRPr="00FA026E">
        <w:rPr>
          <w:rFonts w:ascii="Arial Narrow" w:hAnsi="Arial Narrow" w:cs="Tahoma"/>
          <w:sz w:val="22"/>
          <w:szCs w:val="22"/>
        </w:rPr>
        <w:t xml:space="preserve">Average after-tax wage in 2021 amounted to 1,004 KM, while average gross wage amounted to 1,546 KM. Compared to 2020, average after-tax wage paid in 2021 was nominally 4.9% higher and really 3.2% higher. </w:t>
      </w:r>
    </w:p>
    <w:p w:rsidR="00694584" w:rsidRPr="00FA026E" w:rsidRDefault="00694584" w:rsidP="001D461A">
      <w:pPr>
        <w:jc w:val="both"/>
        <w:rPr>
          <w:rFonts w:ascii="Arial Narrow" w:hAnsi="Arial Narrow" w:cs="Tahoma"/>
          <w:sz w:val="22"/>
        </w:rPr>
      </w:pPr>
    </w:p>
    <w:p w:rsidR="00796D74" w:rsidRPr="00FA026E" w:rsidRDefault="00796D74" w:rsidP="001D461A">
      <w:pPr>
        <w:jc w:val="both"/>
        <w:rPr>
          <w:rFonts w:ascii="Arial Narrow" w:hAnsi="Arial Narrow" w:cs="Tahoma"/>
          <w:sz w:val="22"/>
          <w:szCs w:val="22"/>
        </w:rPr>
      </w:pPr>
    </w:p>
    <w:p w:rsidR="00E33D13" w:rsidRPr="00FA026E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FA026E">
        <w:rPr>
          <w:rFonts w:ascii="Tahoma" w:hAnsi="Tahoma" w:cs="Tahoma"/>
          <w:i/>
          <w:sz w:val="14"/>
        </w:rPr>
        <w:t xml:space="preserve"> </w:t>
      </w:r>
      <w:r w:rsidRPr="00FA026E">
        <w:rPr>
          <w:rFonts w:ascii="Tahoma" w:hAnsi="Tahoma" w:cs="Tahoma"/>
          <w:sz w:val="14"/>
        </w:rPr>
        <w:t xml:space="preserve">   </w:t>
      </w:r>
      <w:r w:rsidRPr="00FA026E">
        <w:rPr>
          <w:rFonts w:ascii="Tahoma" w:hAnsi="Tahoma" w:cs="Tahoma"/>
          <w:sz w:val="14"/>
        </w:rPr>
        <w:tab/>
      </w:r>
      <w:r w:rsidRPr="00FA026E">
        <w:rPr>
          <w:rFonts w:ascii="Tahoma" w:hAnsi="Tahoma" w:cs="Tahoma"/>
          <w:sz w:val="14"/>
        </w:rPr>
        <w:tab/>
        <w:t xml:space="preserve">            </w:t>
      </w:r>
      <w:r w:rsidR="00F85AAC" w:rsidRPr="00FA026E">
        <w:rPr>
          <w:rFonts w:ascii="Tahoma" w:hAnsi="Tahoma" w:cs="Tahoma"/>
          <w:sz w:val="14"/>
        </w:rPr>
        <w:t xml:space="preserve">  </w:t>
      </w:r>
      <w:r w:rsidR="0062701E" w:rsidRPr="00FA026E">
        <w:rPr>
          <w:rFonts w:ascii="Tahoma" w:hAnsi="Tahoma" w:cs="Tahoma"/>
          <w:sz w:val="14"/>
        </w:rPr>
        <w:t xml:space="preserve"> </w:t>
      </w:r>
      <w:r w:rsidR="00F85AAC" w:rsidRPr="00FA026E">
        <w:rPr>
          <w:rFonts w:ascii="Tahoma" w:hAnsi="Tahoma" w:cs="Tahoma"/>
          <w:sz w:val="14"/>
        </w:rPr>
        <w:t xml:space="preserve"> </w:t>
      </w:r>
      <w:r w:rsidR="00DE7AB2" w:rsidRPr="00FA026E">
        <w:rPr>
          <w:rFonts w:ascii="Arial Narrow" w:hAnsi="Arial Narrow" w:cs="Tahoma"/>
          <w:sz w:val="16"/>
          <w:szCs w:val="22"/>
        </w:rPr>
        <w:t>KM</w:t>
      </w:r>
    </w:p>
    <w:p w:rsidR="00E33D13" w:rsidRPr="00FA026E" w:rsidRDefault="00425891" w:rsidP="00E33D13">
      <w:pPr>
        <w:jc w:val="center"/>
        <w:rPr>
          <w:rFonts w:ascii="Tahoma" w:hAnsi="Tahoma" w:cs="Tahoma"/>
        </w:rPr>
      </w:pPr>
      <w:r w:rsidRPr="00FA026E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1060862</wp:posOffset>
            </wp:positionH>
            <wp:positionV relativeFrom="paragraph">
              <wp:posOffset>2068195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FA026E">
        <w:rPr>
          <w:noProof/>
        </w:rPr>
        <w:t xml:space="preserve"> </w:t>
      </w:r>
      <w:r w:rsidR="00E33D13" w:rsidRPr="00FA026E">
        <w:rPr>
          <w:rFonts w:ascii="Tahoma" w:hAnsi="Tahoma" w:cs="Tahoma"/>
          <w:szCs w:val="18"/>
        </w:rPr>
        <w:t xml:space="preserve"> </w:t>
      </w:r>
      <w:r w:rsidR="00820BC0" w:rsidRPr="00FA026E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FA026E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FA026E" w:rsidRDefault="00BE7368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FA026E">
        <w:rPr>
          <w:rFonts w:ascii="Arial Narrow" w:hAnsi="Arial Narrow" w:cs="Tahoma"/>
          <w:sz w:val="16"/>
          <w:szCs w:val="22"/>
        </w:rPr>
        <w:t>Graph</w:t>
      </w:r>
      <w:r w:rsidR="00E33D13" w:rsidRPr="00FA026E">
        <w:rPr>
          <w:rFonts w:ascii="Arial Narrow" w:hAnsi="Arial Narrow" w:cs="Tahoma"/>
          <w:sz w:val="16"/>
          <w:szCs w:val="22"/>
        </w:rPr>
        <w:t xml:space="preserve"> </w:t>
      </w:r>
      <w:r w:rsidR="0066022A" w:rsidRPr="00FA026E">
        <w:rPr>
          <w:rFonts w:ascii="Arial Narrow" w:hAnsi="Arial Narrow" w:cs="Tahoma"/>
          <w:sz w:val="16"/>
          <w:szCs w:val="22"/>
        </w:rPr>
        <w:t>1</w:t>
      </w:r>
      <w:r w:rsidR="00E33D13" w:rsidRPr="00FA026E">
        <w:rPr>
          <w:rFonts w:ascii="Arial Narrow" w:hAnsi="Arial Narrow" w:cs="Tahoma"/>
          <w:sz w:val="16"/>
          <w:szCs w:val="22"/>
        </w:rPr>
        <w:t xml:space="preserve">. </w:t>
      </w:r>
      <w:r w:rsidRPr="00FA026E">
        <w:rPr>
          <w:rFonts w:ascii="Arial Narrow" w:hAnsi="Arial Narrow" w:cs="Tahoma"/>
          <w:sz w:val="16"/>
          <w:szCs w:val="22"/>
        </w:rPr>
        <w:t>Average after-tax wages by month</w:t>
      </w:r>
    </w:p>
    <w:p w:rsidR="00620BD6" w:rsidRPr="00FA026E" w:rsidRDefault="00620BD6" w:rsidP="003C35DD">
      <w:pPr>
        <w:rPr>
          <w:rFonts w:ascii="Arial Narrow" w:hAnsi="Arial Narrow" w:cs="Tahoma"/>
          <w:b/>
          <w:sz w:val="30"/>
          <w:szCs w:val="30"/>
        </w:rPr>
      </w:pPr>
    </w:p>
    <w:p w:rsidR="00682CD4" w:rsidRPr="00FA026E" w:rsidRDefault="00682CD4" w:rsidP="00B50951">
      <w:pPr>
        <w:rPr>
          <w:rFonts w:ascii="Arial Narrow" w:hAnsi="Arial Narrow" w:cs="Tahoma"/>
          <w:b/>
          <w:sz w:val="28"/>
          <w:szCs w:val="24"/>
        </w:rPr>
      </w:pPr>
    </w:p>
    <w:p w:rsidR="000F2395" w:rsidRPr="00FA026E" w:rsidRDefault="000F2395" w:rsidP="00B50951">
      <w:pPr>
        <w:rPr>
          <w:rFonts w:ascii="Arial Narrow" w:hAnsi="Arial Narrow" w:cs="Tahoma"/>
          <w:b/>
          <w:sz w:val="28"/>
          <w:szCs w:val="24"/>
        </w:rPr>
      </w:pPr>
    </w:p>
    <w:p w:rsidR="00896347" w:rsidRPr="00FA026E" w:rsidRDefault="00896347" w:rsidP="00B50951">
      <w:pPr>
        <w:rPr>
          <w:rFonts w:ascii="Arial Narrow" w:hAnsi="Arial Narrow" w:cs="Tahoma"/>
          <w:b/>
          <w:sz w:val="28"/>
          <w:szCs w:val="24"/>
        </w:rPr>
      </w:pPr>
    </w:p>
    <w:p w:rsidR="00B50951" w:rsidRPr="00FA026E" w:rsidRDefault="00896347" w:rsidP="00B50951">
      <w:pPr>
        <w:rPr>
          <w:rFonts w:ascii="Arial Narrow" w:hAnsi="Arial Narrow" w:cs="Tahoma"/>
          <w:sz w:val="28"/>
          <w:szCs w:val="24"/>
        </w:rPr>
      </w:pPr>
      <w:r w:rsidRPr="00FA026E">
        <w:rPr>
          <w:rFonts w:ascii="Arial Narrow" w:hAnsi="Arial Narrow" w:cs="Tahoma"/>
          <w:b/>
          <w:sz w:val="28"/>
          <w:szCs w:val="24"/>
        </w:rPr>
        <w:t>Monthly inflation</w:t>
      </w:r>
      <w:r w:rsidR="00B50951" w:rsidRPr="00FA026E">
        <w:rPr>
          <w:rFonts w:ascii="Arial Narrow" w:hAnsi="Arial Narrow" w:cs="Tahoma"/>
          <w:b/>
          <w:sz w:val="28"/>
          <w:szCs w:val="24"/>
        </w:rPr>
        <w:t xml:space="preserve"> </w:t>
      </w:r>
      <w:r w:rsidRPr="00FA026E">
        <w:rPr>
          <w:rFonts w:ascii="Arial Narrow" w:hAnsi="Arial Narrow" w:cs="Tahoma"/>
          <w:b/>
          <w:sz w:val="28"/>
          <w:szCs w:val="24"/>
        </w:rPr>
        <w:t>0.</w:t>
      </w:r>
      <w:r w:rsidR="00925B97" w:rsidRPr="00FA026E">
        <w:rPr>
          <w:rFonts w:ascii="Arial Narrow" w:hAnsi="Arial Narrow" w:cs="Tahoma"/>
          <w:b/>
          <w:sz w:val="28"/>
          <w:szCs w:val="24"/>
        </w:rPr>
        <w:t>5</w:t>
      </w:r>
      <w:r w:rsidR="00B50951" w:rsidRPr="00FA026E">
        <w:rPr>
          <w:rFonts w:ascii="Arial Narrow" w:hAnsi="Arial Narrow" w:cs="Tahoma"/>
          <w:b/>
          <w:sz w:val="28"/>
          <w:szCs w:val="24"/>
        </w:rPr>
        <w:t>%</w:t>
      </w:r>
      <w:r w:rsidRPr="00FA026E">
        <w:rPr>
          <w:rFonts w:ascii="Arial Narrow" w:hAnsi="Arial Narrow" w:cs="Tahoma"/>
          <w:b/>
          <w:sz w:val="28"/>
          <w:szCs w:val="24"/>
        </w:rPr>
        <w:t xml:space="preserve"> in December 2021</w:t>
      </w:r>
    </w:p>
    <w:p w:rsidR="00B50951" w:rsidRPr="00FA026E" w:rsidRDefault="00896347" w:rsidP="00B50951">
      <w:pPr>
        <w:rPr>
          <w:rFonts w:ascii="Arial Narrow" w:hAnsi="Arial Narrow" w:cs="Tahoma"/>
          <w:b/>
          <w:sz w:val="28"/>
          <w:szCs w:val="24"/>
        </w:rPr>
      </w:pPr>
      <w:r w:rsidRPr="00FA026E">
        <w:rPr>
          <w:rFonts w:ascii="Arial Narrow" w:hAnsi="Arial Narrow" w:cs="Tahoma"/>
          <w:b/>
          <w:sz w:val="28"/>
          <w:szCs w:val="24"/>
        </w:rPr>
        <w:t>Annual inflation</w:t>
      </w:r>
      <w:r w:rsidR="00B50951" w:rsidRPr="00FA026E">
        <w:rPr>
          <w:rFonts w:ascii="Arial Narrow" w:hAnsi="Arial Narrow" w:cs="Tahoma"/>
          <w:b/>
          <w:sz w:val="28"/>
          <w:szCs w:val="24"/>
        </w:rPr>
        <w:t xml:space="preserve"> (</w:t>
      </w:r>
      <w:r w:rsidRPr="00FA026E">
        <w:rPr>
          <w:rFonts w:ascii="Arial Narrow" w:hAnsi="Arial Narrow" w:cs="Tahoma"/>
          <w:b/>
          <w:sz w:val="28"/>
          <w:szCs w:val="24"/>
        </w:rPr>
        <w:t>December</w:t>
      </w:r>
      <w:r w:rsidR="00B50951" w:rsidRPr="00FA026E">
        <w:rPr>
          <w:rFonts w:ascii="Arial Narrow" w:hAnsi="Arial Narrow" w:cs="Tahoma"/>
          <w:b/>
          <w:sz w:val="28"/>
          <w:szCs w:val="24"/>
        </w:rPr>
        <w:t xml:space="preserve"> 2021/</w:t>
      </w:r>
      <w:r w:rsidRPr="00FA026E">
        <w:rPr>
          <w:rFonts w:ascii="Arial Narrow" w:hAnsi="Arial Narrow" w:cs="Tahoma"/>
          <w:b/>
          <w:sz w:val="28"/>
          <w:szCs w:val="24"/>
        </w:rPr>
        <w:t>December</w:t>
      </w:r>
      <w:r w:rsidR="00C679AA" w:rsidRPr="00FA026E">
        <w:rPr>
          <w:rFonts w:ascii="Arial Narrow" w:hAnsi="Arial Narrow" w:cs="Tahoma"/>
          <w:b/>
          <w:sz w:val="28"/>
          <w:szCs w:val="24"/>
        </w:rPr>
        <w:t xml:space="preserve"> 2020) </w:t>
      </w:r>
      <w:r w:rsidR="004552AD" w:rsidRPr="00FA026E">
        <w:rPr>
          <w:rFonts w:ascii="Arial Narrow" w:hAnsi="Arial Narrow" w:cs="Tahoma"/>
          <w:b/>
          <w:sz w:val="28"/>
          <w:szCs w:val="24"/>
        </w:rPr>
        <w:t>5</w:t>
      </w:r>
      <w:r w:rsidRPr="00FA026E">
        <w:rPr>
          <w:rFonts w:ascii="Arial Narrow" w:hAnsi="Arial Narrow" w:cs="Tahoma"/>
          <w:b/>
          <w:sz w:val="28"/>
          <w:szCs w:val="24"/>
        </w:rPr>
        <w:t>.</w:t>
      </w:r>
      <w:r w:rsidR="00925B97" w:rsidRPr="00FA026E">
        <w:rPr>
          <w:rFonts w:ascii="Arial Narrow" w:hAnsi="Arial Narrow" w:cs="Tahoma"/>
          <w:b/>
          <w:sz w:val="28"/>
          <w:szCs w:val="24"/>
        </w:rPr>
        <w:t>9</w:t>
      </w:r>
      <w:r w:rsidR="00B50951" w:rsidRPr="00FA026E">
        <w:rPr>
          <w:rFonts w:ascii="Arial Narrow" w:hAnsi="Arial Narrow" w:cs="Tahoma"/>
          <w:b/>
          <w:sz w:val="28"/>
          <w:szCs w:val="24"/>
        </w:rPr>
        <w:t>%</w:t>
      </w:r>
    </w:p>
    <w:p w:rsidR="00B50951" w:rsidRPr="00FA026E" w:rsidRDefault="00B50951" w:rsidP="00B50951">
      <w:pPr>
        <w:rPr>
          <w:rFonts w:ascii="Arial Narrow" w:hAnsi="Arial Narrow" w:cs="Tahoma"/>
          <w:b/>
          <w:sz w:val="28"/>
          <w:szCs w:val="24"/>
        </w:rPr>
      </w:pPr>
    </w:p>
    <w:p w:rsidR="000E3D47" w:rsidRPr="00FA026E" w:rsidRDefault="000E3D47" w:rsidP="00C679AA">
      <w:pPr>
        <w:jc w:val="both"/>
        <w:rPr>
          <w:rFonts w:ascii="Arial Narrow" w:hAnsi="Arial Narrow" w:cs="Tahoma"/>
          <w:sz w:val="22"/>
          <w:szCs w:val="22"/>
        </w:rPr>
      </w:pPr>
      <w:r w:rsidRPr="00FA026E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December 2021, compared to the previous month, were on average 0.5% higher, while compared to the same month of the previous year they were on average 5.9% higher. </w:t>
      </w:r>
    </w:p>
    <w:p w:rsidR="00925B97" w:rsidRPr="00FA026E" w:rsidRDefault="00925B97" w:rsidP="00925B97">
      <w:pPr>
        <w:jc w:val="both"/>
        <w:rPr>
          <w:rFonts w:ascii="Arial Narrow" w:hAnsi="Arial Narrow" w:cs="Tahoma"/>
          <w:sz w:val="22"/>
          <w:szCs w:val="22"/>
        </w:rPr>
      </w:pPr>
    </w:p>
    <w:p w:rsidR="000E3D47" w:rsidRPr="00FA026E" w:rsidRDefault="000E3D47" w:rsidP="00925B97">
      <w:pPr>
        <w:jc w:val="both"/>
        <w:rPr>
          <w:rFonts w:ascii="Arial Narrow" w:hAnsi="Arial Narrow" w:cs="Tahoma"/>
          <w:sz w:val="22"/>
          <w:szCs w:val="22"/>
        </w:rPr>
      </w:pPr>
      <w:r w:rsidRPr="00FA026E">
        <w:rPr>
          <w:rFonts w:ascii="Arial Narrow" w:hAnsi="Arial Narrow" w:cs="Tahoma"/>
          <w:sz w:val="22"/>
          <w:szCs w:val="22"/>
        </w:rPr>
        <w:t xml:space="preserve">Of the 12 main divisions of products and services, an increase in prices at the annual level was recorded in eight divisions, a decrease was recorded in three divisions, while prices in one division remained unchanged. </w:t>
      </w:r>
    </w:p>
    <w:p w:rsidR="00925B97" w:rsidRPr="00FA026E" w:rsidRDefault="00925B97" w:rsidP="00925B97">
      <w:pPr>
        <w:jc w:val="both"/>
        <w:rPr>
          <w:rFonts w:ascii="Arial Narrow" w:hAnsi="Arial Narrow" w:cs="Tahoma"/>
          <w:sz w:val="22"/>
          <w:szCs w:val="22"/>
        </w:rPr>
      </w:pPr>
    </w:p>
    <w:p w:rsidR="00A7534E" w:rsidRPr="00FA026E" w:rsidRDefault="00A7534E" w:rsidP="00925B97">
      <w:pPr>
        <w:jc w:val="both"/>
        <w:rPr>
          <w:rFonts w:ascii="Arial Narrow" w:hAnsi="Arial Narrow" w:cs="Tahoma"/>
          <w:color w:val="FF0000"/>
          <w:sz w:val="22"/>
          <w:szCs w:val="22"/>
        </w:rPr>
      </w:pPr>
      <w:r w:rsidRPr="00FA026E">
        <w:rPr>
          <w:rFonts w:ascii="Arial Narrow" w:hAnsi="Arial Narrow" w:cs="Tahoma"/>
          <w:sz w:val="22"/>
          <w:szCs w:val="22"/>
        </w:rPr>
        <w:t xml:space="preserve">The highest annual increase in prices in December 2021 was recorded in the section </w:t>
      </w:r>
      <w:r w:rsidRPr="00FA026E">
        <w:rPr>
          <w:rFonts w:ascii="Arial Narrow" w:hAnsi="Arial Narrow" w:cs="Tahoma"/>
          <w:i/>
          <w:sz w:val="22"/>
          <w:szCs w:val="22"/>
        </w:rPr>
        <w:t xml:space="preserve">Transport, </w:t>
      </w:r>
      <w:r w:rsidRPr="00FA026E">
        <w:rPr>
          <w:rFonts w:ascii="Arial Narrow" w:hAnsi="Arial Narrow" w:cs="Tahoma"/>
          <w:sz w:val="22"/>
          <w:szCs w:val="22"/>
        </w:rPr>
        <w:t xml:space="preserve">namely by 14.4%, due to higher prices in the group fuels and lubricants for passenger cars by 25.8%. An increase in prices was also recorded in the division </w:t>
      </w:r>
      <w:r w:rsidRPr="00FA026E">
        <w:rPr>
          <w:rFonts w:ascii="Arial Narrow" w:hAnsi="Arial Narrow" w:cs="Tahoma"/>
          <w:i/>
          <w:sz w:val="22"/>
          <w:szCs w:val="22"/>
        </w:rPr>
        <w:t>Food and non-alcoholic beverages</w:t>
      </w:r>
      <w:r w:rsidRPr="00FA026E">
        <w:rPr>
          <w:rFonts w:ascii="Arial Narrow" w:hAnsi="Arial Narrow" w:cs="Tahoma"/>
          <w:sz w:val="22"/>
          <w:szCs w:val="22"/>
        </w:rPr>
        <w:t xml:space="preserve">, by 10.7%, due to higher prices in the groups oils and fats by 33.2% and vegetables by 20.1%. Higher prices were also recorded in the division </w:t>
      </w:r>
      <w:r w:rsidRPr="00FA026E">
        <w:rPr>
          <w:rFonts w:ascii="Arial Narrow" w:hAnsi="Arial Narrow" w:cs="Tahoma"/>
          <w:i/>
          <w:sz w:val="22"/>
          <w:szCs w:val="22"/>
        </w:rPr>
        <w:t xml:space="preserve">Furnishings and household equipment, </w:t>
      </w:r>
      <w:r w:rsidRPr="00FA026E">
        <w:rPr>
          <w:rFonts w:ascii="Arial Narrow" w:hAnsi="Arial Narrow" w:cs="Tahoma"/>
          <w:sz w:val="22"/>
          <w:szCs w:val="22"/>
        </w:rPr>
        <w:t xml:space="preserve">by 4.0%, due to higher prices in the group furniture and pieces of furniture by 9.9%. An increase in prices was recorded in the following divisions as well: </w:t>
      </w:r>
      <w:r w:rsidRPr="00FA026E">
        <w:rPr>
          <w:rFonts w:ascii="Arial Narrow" w:hAnsi="Arial Narrow" w:cs="Tahoma"/>
          <w:i/>
          <w:sz w:val="22"/>
          <w:szCs w:val="22"/>
        </w:rPr>
        <w:t xml:space="preserve">Housing, </w:t>
      </w:r>
      <w:r w:rsidRPr="00FA026E">
        <w:rPr>
          <w:rFonts w:ascii="Arial Narrow" w:hAnsi="Arial Narrow" w:cs="Tahoma"/>
          <w:sz w:val="22"/>
          <w:szCs w:val="22"/>
        </w:rPr>
        <w:t xml:space="preserve">by 2.9%, due to higher prices in the groups gas by 43.4% and liquid fuels by 37.3%; </w:t>
      </w:r>
      <w:r w:rsidRPr="00FA026E">
        <w:rPr>
          <w:rFonts w:ascii="Arial Narrow" w:hAnsi="Arial Narrow" w:cs="Tahoma"/>
          <w:i/>
          <w:sz w:val="22"/>
          <w:szCs w:val="22"/>
        </w:rPr>
        <w:t xml:space="preserve">Alcoholic beverages and tobacco </w:t>
      </w:r>
      <w:r w:rsidRPr="00FA026E">
        <w:rPr>
          <w:rFonts w:ascii="Arial Narrow" w:hAnsi="Arial Narrow" w:cs="Tahoma"/>
          <w:sz w:val="22"/>
          <w:szCs w:val="22"/>
        </w:rPr>
        <w:t xml:space="preserve">by 2.0%, due to higher prices in the group beer by 2.4%; </w:t>
      </w:r>
      <w:r w:rsidRPr="00FA026E">
        <w:rPr>
          <w:rFonts w:ascii="Arial Narrow" w:hAnsi="Arial Narrow" w:cs="Tahoma"/>
          <w:i/>
          <w:sz w:val="22"/>
          <w:szCs w:val="22"/>
        </w:rPr>
        <w:t xml:space="preserve">Recreation and culture </w:t>
      </w:r>
      <w:r w:rsidRPr="00FA026E">
        <w:rPr>
          <w:rFonts w:ascii="Arial Narrow" w:hAnsi="Arial Narrow" w:cs="Tahoma"/>
          <w:sz w:val="22"/>
          <w:szCs w:val="22"/>
        </w:rPr>
        <w:t>by 1.9%, due to higher prices in the group newspapers and magazines by 9.2</w:t>
      </w:r>
      <w:r w:rsidR="005A3286" w:rsidRPr="00FA026E">
        <w:rPr>
          <w:rFonts w:ascii="Arial Narrow" w:hAnsi="Arial Narrow" w:cs="Tahoma"/>
          <w:sz w:val="22"/>
          <w:szCs w:val="22"/>
        </w:rPr>
        <w:t>%. An increase</w:t>
      </w:r>
      <w:r w:rsidR="00660A22" w:rsidRPr="00FA026E">
        <w:rPr>
          <w:rFonts w:ascii="Arial Narrow" w:hAnsi="Arial Narrow" w:cs="Tahoma"/>
          <w:sz w:val="22"/>
          <w:szCs w:val="22"/>
        </w:rPr>
        <w:t xml:space="preserve"> in prices</w:t>
      </w:r>
      <w:r w:rsidR="005A3286" w:rsidRPr="00FA026E">
        <w:rPr>
          <w:rFonts w:ascii="Arial Narrow" w:hAnsi="Arial Narrow" w:cs="Tahoma"/>
          <w:sz w:val="22"/>
          <w:szCs w:val="22"/>
        </w:rPr>
        <w:t xml:space="preserve"> by 1.7</w:t>
      </w:r>
      <w:r w:rsidRPr="00FA026E">
        <w:rPr>
          <w:rFonts w:ascii="Arial Narrow" w:hAnsi="Arial Narrow" w:cs="Tahoma"/>
          <w:sz w:val="22"/>
          <w:szCs w:val="22"/>
        </w:rPr>
        <w:t xml:space="preserve">% recorded in the division </w:t>
      </w:r>
      <w:r w:rsidRPr="00FA026E">
        <w:rPr>
          <w:rFonts w:ascii="Arial Narrow" w:hAnsi="Arial Narrow" w:cs="Tahoma"/>
          <w:i/>
          <w:sz w:val="22"/>
          <w:szCs w:val="22"/>
        </w:rPr>
        <w:t>Other goods and services</w:t>
      </w:r>
      <w:r w:rsidRPr="00FA026E">
        <w:rPr>
          <w:rFonts w:ascii="Arial Narrow" w:hAnsi="Arial Narrow" w:cs="Tahoma"/>
          <w:sz w:val="22"/>
          <w:szCs w:val="22"/>
        </w:rPr>
        <w:t xml:space="preserve"> occurred due to higher prices in the </w:t>
      </w:r>
      <w:r w:rsidR="00660A22" w:rsidRPr="00FA026E">
        <w:rPr>
          <w:rFonts w:ascii="Arial Narrow" w:hAnsi="Arial Narrow" w:cs="Tahoma"/>
          <w:sz w:val="22"/>
          <w:szCs w:val="22"/>
        </w:rPr>
        <w:t>group other services</w:t>
      </w:r>
      <w:r w:rsidRPr="00FA026E">
        <w:rPr>
          <w:rFonts w:ascii="Arial Narrow" w:hAnsi="Arial Narrow" w:cs="Tahoma"/>
          <w:sz w:val="22"/>
          <w:szCs w:val="22"/>
        </w:rPr>
        <w:t xml:space="preserve"> by </w:t>
      </w:r>
      <w:r w:rsidR="00660A22" w:rsidRPr="00FA026E">
        <w:rPr>
          <w:rFonts w:ascii="Arial Narrow" w:hAnsi="Arial Narrow" w:cs="Tahoma"/>
          <w:sz w:val="22"/>
          <w:szCs w:val="22"/>
        </w:rPr>
        <w:t>3.3</w:t>
      </w:r>
      <w:r w:rsidRPr="00FA026E">
        <w:rPr>
          <w:rFonts w:ascii="Arial Narrow" w:hAnsi="Arial Narrow" w:cs="Tahoma"/>
          <w:sz w:val="22"/>
          <w:szCs w:val="22"/>
        </w:rPr>
        <w:t xml:space="preserve">%. An increase in prices by </w:t>
      </w:r>
      <w:r w:rsidR="00660A22" w:rsidRPr="00FA026E">
        <w:rPr>
          <w:rFonts w:ascii="Arial Narrow" w:hAnsi="Arial Narrow" w:cs="Tahoma"/>
          <w:sz w:val="22"/>
          <w:szCs w:val="22"/>
        </w:rPr>
        <w:t>1.4% was recorded in the division</w:t>
      </w:r>
      <w:r w:rsidRPr="00FA026E">
        <w:rPr>
          <w:rFonts w:ascii="Arial Narrow" w:hAnsi="Arial Narrow" w:cs="Tahoma"/>
          <w:sz w:val="22"/>
          <w:szCs w:val="22"/>
        </w:rPr>
        <w:t xml:space="preserve"> </w:t>
      </w:r>
      <w:r w:rsidRPr="00FA026E">
        <w:rPr>
          <w:rFonts w:ascii="Arial Narrow" w:hAnsi="Arial Narrow" w:cs="Tahoma"/>
          <w:i/>
          <w:sz w:val="22"/>
          <w:szCs w:val="22"/>
        </w:rPr>
        <w:t>Restaurants and hotels</w:t>
      </w:r>
      <w:r w:rsidRPr="00FA026E">
        <w:rPr>
          <w:rFonts w:ascii="Arial Narrow" w:hAnsi="Arial Narrow" w:cs="Tahoma"/>
          <w:sz w:val="22"/>
          <w:szCs w:val="22"/>
        </w:rPr>
        <w:t>, du</w:t>
      </w:r>
      <w:r w:rsidR="00660A22" w:rsidRPr="00FA026E">
        <w:rPr>
          <w:rFonts w:ascii="Arial Narrow" w:hAnsi="Arial Narrow" w:cs="Tahoma"/>
          <w:sz w:val="22"/>
          <w:szCs w:val="22"/>
        </w:rPr>
        <w:t>e to higher prices in the group</w:t>
      </w:r>
      <w:r w:rsidRPr="00FA026E">
        <w:rPr>
          <w:rFonts w:ascii="Arial Narrow" w:hAnsi="Arial Narrow" w:cs="Tahoma"/>
          <w:sz w:val="22"/>
          <w:szCs w:val="22"/>
        </w:rPr>
        <w:t xml:space="preserve"> restaurant and café services by </w:t>
      </w:r>
      <w:r w:rsidR="00660A22" w:rsidRPr="00FA026E">
        <w:rPr>
          <w:rFonts w:ascii="Arial Narrow" w:hAnsi="Arial Narrow" w:cs="Tahoma"/>
          <w:sz w:val="22"/>
          <w:szCs w:val="22"/>
        </w:rPr>
        <w:t>1.6%.</w:t>
      </w:r>
    </w:p>
    <w:p w:rsidR="00A7534E" w:rsidRPr="00FA026E" w:rsidRDefault="00A7534E" w:rsidP="00925B97">
      <w:pPr>
        <w:jc w:val="both"/>
        <w:rPr>
          <w:rFonts w:ascii="Arial Narrow" w:hAnsi="Arial Narrow" w:cs="Tahoma"/>
          <w:sz w:val="22"/>
          <w:szCs w:val="22"/>
        </w:rPr>
      </w:pPr>
    </w:p>
    <w:p w:rsidR="00925B97" w:rsidRPr="00FA026E" w:rsidRDefault="00BD5044" w:rsidP="00925B97">
      <w:pPr>
        <w:jc w:val="both"/>
        <w:rPr>
          <w:rFonts w:ascii="Arial Narrow" w:hAnsi="Arial Narrow" w:cs="Tahoma"/>
          <w:sz w:val="22"/>
          <w:szCs w:val="22"/>
        </w:rPr>
      </w:pPr>
      <w:r w:rsidRPr="00FA026E">
        <w:rPr>
          <w:rFonts w:ascii="Arial Narrow" w:hAnsi="Arial Narrow" w:cs="Tahoma"/>
          <w:sz w:val="22"/>
          <w:szCs w:val="22"/>
        </w:rPr>
        <w:t xml:space="preserve">In the division </w:t>
      </w:r>
      <w:r w:rsidRPr="00FA026E">
        <w:rPr>
          <w:rFonts w:ascii="Arial Narrow" w:hAnsi="Arial Narrow" w:cs="Tahoma"/>
          <w:i/>
          <w:sz w:val="22"/>
          <w:szCs w:val="22"/>
        </w:rPr>
        <w:t>Health</w:t>
      </w:r>
      <w:r w:rsidRPr="00FA026E">
        <w:rPr>
          <w:rFonts w:ascii="Arial Narrow" w:hAnsi="Arial Narrow" w:cs="Tahoma"/>
          <w:sz w:val="22"/>
          <w:szCs w:val="22"/>
        </w:rPr>
        <w:t xml:space="preserve"> prices remained on average at the same level. </w:t>
      </w:r>
    </w:p>
    <w:p w:rsidR="00BE0FCB" w:rsidRPr="00FA026E" w:rsidRDefault="00BE0FCB" w:rsidP="00925B97">
      <w:pPr>
        <w:jc w:val="both"/>
        <w:rPr>
          <w:rFonts w:ascii="Arial Narrow" w:hAnsi="Arial Narrow" w:cs="Tahoma"/>
          <w:sz w:val="22"/>
          <w:szCs w:val="22"/>
        </w:rPr>
      </w:pPr>
    </w:p>
    <w:p w:rsidR="00323D8D" w:rsidRPr="00FA026E" w:rsidRDefault="00BE0FCB" w:rsidP="00925B97">
      <w:pPr>
        <w:jc w:val="both"/>
        <w:rPr>
          <w:rFonts w:ascii="Arial Narrow" w:hAnsi="Arial Narrow" w:cs="Tahoma"/>
          <w:sz w:val="22"/>
          <w:szCs w:val="22"/>
        </w:rPr>
      </w:pPr>
      <w:r w:rsidRPr="00FA026E">
        <w:rPr>
          <w:rFonts w:ascii="Arial Narrow" w:hAnsi="Arial Narrow" w:cs="Tahoma"/>
          <w:sz w:val="22"/>
          <w:szCs w:val="22"/>
        </w:rPr>
        <w:t xml:space="preserve">The highest decrease in prices at the annual level in December 2021 was recorded in the division </w:t>
      </w:r>
      <w:r w:rsidRPr="00FA026E">
        <w:rPr>
          <w:rFonts w:ascii="Arial Narrow" w:hAnsi="Arial Narrow" w:cs="Tahoma"/>
          <w:i/>
          <w:sz w:val="22"/>
          <w:szCs w:val="22"/>
        </w:rPr>
        <w:t xml:space="preserve">Clothing and footwear, </w:t>
      </w:r>
      <w:r w:rsidRPr="00FA026E">
        <w:rPr>
          <w:rFonts w:ascii="Arial Narrow" w:hAnsi="Arial Narrow" w:cs="Tahoma"/>
          <w:sz w:val="22"/>
          <w:szCs w:val="22"/>
        </w:rPr>
        <w:t xml:space="preserve">by 6.3%, due to seasonal discounts on ready-made clothing and footwear during the year. Lower prices were also recorded in the divisions </w:t>
      </w:r>
      <w:r w:rsidRPr="00FA026E">
        <w:rPr>
          <w:rFonts w:ascii="Arial Narrow" w:hAnsi="Arial Narrow" w:cs="Tahoma"/>
          <w:i/>
          <w:sz w:val="22"/>
          <w:szCs w:val="22"/>
        </w:rPr>
        <w:t xml:space="preserve">Education </w:t>
      </w:r>
      <w:r w:rsidRPr="00FA026E">
        <w:rPr>
          <w:rFonts w:ascii="Arial Narrow" w:hAnsi="Arial Narrow" w:cs="Tahoma"/>
          <w:sz w:val="22"/>
          <w:szCs w:val="22"/>
        </w:rPr>
        <w:t xml:space="preserve">and </w:t>
      </w:r>
      <w:r w:rsidRPr="00FA026E">
        <w:rPr>
          <w:rFonts w:ascii="Arial Narrow" w:hAnsi="Arial Narrow" w:cs="Tahoma"/>
          <w:i/>
          <w:sz w:val="22"/>
          <w:szCs w:val="22"/>
        </w:rPr>
        <w:t xml:space="preserve">Communication, </w:t>
      </w:r>
      <w:r w:rsidRPr="00FA026E">
        <w:rPr>
          <w:rFonts w:ascii="Arial Narrow" w:hAnsi="Arial Narrow" w:cs="Tahoma"/>
          <w:sz w:val="22"/>
          <w:szCs w:val="22"/>
        </w:rPr>
        <w:t>by 0.2% both,</w:t>
      </w:r>
      <w:r w:rsidRPr="00FA026E">
        <w:rPr>
          <w:rFonts w:ascii="Arial Narrow" w:hAnsi="Arial Narrow" w:cs="Tahoma"/>
          <w:i/>
          <w:sz w:val="22"/>
          <w:szCs w:val="22"/>
        </w:rPr>
        <w:t xml:space="preserve"> </w:t>
      </w:r>
      <w:r w:rsidRPr="00FA026E">
        <w:rPr>
          <w:rFonts w:ascii="Arial Narrow" w:hAnsi="Arial Narrow" w:cs="Tahoma"/>
          <w:sz w:val="22"/>
          <w:szCs w:val="22"/>
        </w:rPr>
        <w:t>due to lower prices in the groups preschool education by 1.6% and telephone and telefax equipment by 3.9%, respectively.</w:t>
      </w:r>
    </w:p>
    <w:p w:rsidR="00CF76CE" w:rsidRPr="00FA026E" w:rsidRDefault="00CF76CE" w:rsidP="00CF76CE">
      <w:pPr>
        <w:jc w:val="both"/>
        <w:rPr>
          <w:rFonts w:ascii="Arial Narrow" w:hAnsi="Arial Narrow" w:cs="Tahoma"/>
          <w:sz w:val="22"/>
          <w:szCs w:val="22"/>
        </w:rPr>
      </w:pPr>
    </w:p>
    <w:p w:rsidR="00B50951" w:rsidRPr="00FA026E" w:rsidRDefault="00E173CE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FA02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E53386" wp14:editId="0AF65E98">
                <wp:simplePos x="0" y="0"/>
                <wp:positionH relativeFrom="margin">
                  <wp:posOffset>3613708</wp:posOffset>
                </wp:positionH>
                <wp:positionV relativeFrom="paragraph">
                  <wp:posOffset>1963699</wp:posOffset>
                </wp:positionV>
                <wp:extent cx="906145" cy="294199"/>
                <wp:effectExtent l="0" t="0" r="825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73CE" w:rsidRDefault="00E173CE" w:rsidP="00E173C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5338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84.55pt;margin-top:154.6pt;width:71.35pt;height:23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" fillcolor="window" stroked="f" strokeweight=".5pt">
                <v:textbox>
                  <w:txbxContent>
                    <w:p w:rsidR="00E173CE" w:rsidRDefault="00E173CE" w:rsidP="00E173C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02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E53386" wp14:editId="0AF65E98">
                <wp:simplePos x="0" y="0"/>
                <wp:positionH relativeFrom="margin">
                  <wp:posOffset>2348179</wp:posOffset>
                </wp:positionH>
                <wp:positionV relativeFrom="paragraph">
                  <wp:posOffset>1965706</wp:posOffset>
                </wp:positionV>
                <wp:extent cx="906145" cy="294199"/>
                <wp:effectExtent l="0" t="0" r="825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73CE" w:rsidRDefault="00E173CE" w:rsidP="00E173C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3386" id="Text Box 28" o:spid="_x0000_s1027" type="#_x0000_t202" style="position:absolute;left:0;text-align:left;margin-left:184.9pt;margin-top:154.8pt;width:71.35pt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" fillcolor="window" stroked="f" strokeweight=".5pt">
                <v:textbox>
                  <w:txbxContent>
                    <w:p w:rsidR="00E173CE" w:rsidRDefault="00E173CE" w:rsidP="00E173C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A5E" w:rsidRPr="00FA026E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2230864</wp:posOffset>
                </wp:positionH>
                <wp:positionV relativeFrom="paragraph">
                  <wp:posOffset>2147321</wp:posOffset>
                </wp:positionV>
                <wp:extent cx="2232707" cy="14696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14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175.65pt;margin-top:169.1pt;width:175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FA026E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FA026E" w:rsidRDefault="00E173CE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FA026E">
        <w:rPr>
          <w:rFonts w:ascii="Arial Narrow" w:hAnsi="Arial Narrow" w:cs="Tahoma"/>
          <w:sz w:val="16"/>
          <w:szCs w:val="16"/>
        </w:rPr>
        <w:t>Graph</w:t>
      </w:r>
      <w:r w:rsidR="00B50951" w:rsidRPr="00FA026E">
        <w:rPr>
          <w:rFonts w:ascii="Arial Narrow" w:hAnsi="Arial Narrow" w:cs="Tahoma"/>
          <w:sz w:val="16"/>
          <w:szCs w:val="16"/>
        </w:rPr>
        <w:t xml:space="preserve"> </w:t>
      </w:r>
      <w:r w:rsidR="001D7B2C" w:rsidRPr="00FA026E">
        <w:rPr>
          <w:rFonts w:ascii="Arial Narrow" w:hAnsi="Arial Narrow" w:cs="Tahoma"/>
          <w:sz w:val="16"/>
          <w:szCs w:val="16"/>
        </w:rPr>
        <w:t>2</w:t>
      </w:r>
      <w:r w:rsidR="00B50951" w:rsidRPr="00FA026E">
        <w:rPr>
          <w:rFonts w:ascii="Arial Narrow" w:hAnsi="Arial Narrow" w:cs="Tahoma"/>
          <w:sz w:val="16"/>
          <w:szCs w:val="16"/>
        </w:rPr>
        <w:t xml:space="preserve">. </w:t>
      </w:r>
      <w:r w:rsidRPr="00FA026E">
        <w:rPr>
          <w:rFonts w:ascii="Arial Narrow" w:hAnsi="Arial Narrow" w:cs="Tahoma"/>
          <w:sz w:val="16"/>
          <w:szCs w:val="16"/>
        </w:rPr>
        <w:t>Monthly and annual inflation</w:t>
      </w:r>
    </w:p>
    <w:p w:rsidR="009C3C6C" w:rsidRPr="00FA026E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213077" w:rsidRPr="00FA026E" w:rsidRDefault="00213077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FA026E" w:rsidRDefault="0012404A" w:rsidP="00213077">
      <w:pPr>
        <w:rPr>
          <w:rFonts w:ascii="Tahoma" w:hAnsi="Tahoma" w:cs="Tahoma"/>
          <w:bCs/>
          <w:spacing w:val="-3"/>
          <w:sz w:val="16"/>
          <w:szCs w:val="16"/>
        </w:rPr>
      </w:pPr>
    </w:p>
    <w:p w:rsidR="00214FDD" w:rsidRPr="00FA026E" w:rsidRDefault="00213077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FA026E">
        <w:rPr>
          <w:rFonts w:ascii="Arial Narrow" w:hAnsi="Arial Narrow" w:cs="Tahoma"/>
          <w:b/>
          <w:bCs/>
          <w:sz w:val="28"/>
          <w:szCs w:val="30"/>
        </w:rPr>
        <w:t xml:space="preserve">Industrial production </w:t>
      </w:r>
      <w:r w:rsidR="00214FDD" w:rsidRPr="00FA026E">
        <w:rPr>
          <w:rFonts w:ascii="Arial Narrow" w:hAnsi="Arial Narrow" w:cs="Tahoma"/>
          <w:b/>
          <w:sz w:val="28"/>
          <w:szCs w:val="30"/>
        </w:rPr>
        <w:t>(</w:t>
      </w:r>
      <w:r w:rsidRPr="00FA026E">
        <w:rPr>
          <w:rFonts w:ascii="Arial Narrow" w:hAnsi="Arial Narrow" w:cs="Tahoma"/>
          <w:b/>
          <w:sz w:val="28"/>
          <w:szCs w:val="30"/>
        </w:rPr>
        <w:t>Jan</w:t>
      </w:r>
      <w:r w:rsidR="000A16C2" w:rsidRPr="00FA026E">
        <w:rPr>
          <w:rFonts w:ascii="Arial Narrow" w:hAnsi="Arial Narrow" w:cs="Tahoma"/>
          <w:b/>
          <w:sz w:val="28"/>
          <w:szCs w:val="30"/>
        </w:rPr>
        <w:t>-</w:t>
      </w:r>
      <w:r w:rsidRPr="00FA026E">
        <w:rPr>
          <w:rFonts w:ascii="Arial Narrow" w:hAnsi="Arial Narrow" w:cs="Tahoma"/>
          <w:b/>
          <w:sz w:val="28"/>
          <w:szCs w:val="30"/>
        </w:rPr>
        <w:t>Dec</w:t>
      </w:r>
      <w:r w:rsidR="00214FDD" w:rsidRPr="00FA026E">
        <w:rPr>
          <w:rFonts w:ascii="Arial Narrow" w:hAnsi="Arial Narrow" w:cs="Tahoma"/>
          <w:b/>
          <w:sz w:val="28"/>
          <w:szCs w:val="30"/>
        </w:rPr>
        <w:t xml:space="preserve"> 202</w:t>
      </w:r>
      <w:r w:rsidR="00D775AF" w:rsidRPr="00FA026E">
        <w:rPr>
          <w:rFonts w:ascii="Arial Narrow" w:hAnsi="Arial Narrow" w:cs="Tahoma"/>
          <w:b/>
          <w:sz w:val="28"/>
          <w:szCs w:val="30"/>
        </w:rPr>
        <w:t>1</w:t>
      </w:r>
      <w:r w:rsidR="00AE3B68" w:rsidRPr="00FA026E">
        <w:rPr>
          <w:rFonts w:ascii="Arial Narrow" w:hAnsi="Arial Narrow" w:cs="Tahoma"/>
          <w:b/>
          <w:sz w:val="28"/>
          <w:szCs w:val="30"/>
        </w:rPr>
        <w:t>/</w:t>
      </w:r>
      <w:r w:rsidRPr="00FA026E">
        <w:rPr>
          <w:rFonts w:ascii="Arial Narrow" w:hAnsi="Arial Narrow" w:cs="Tahoma"/>
          <w:b/>
          <w:sz w:val="28"/>
          <w:szCs w:val="30"/>
        </w:rPr>
        <w:t>Jan</w:t>
      </w:r>
      <w:r w:rsidR="000A16C2" w:rsidRPr="00FA026E">
        <w:rPr>
          <w:rFonts w:ascii="Arial Narrow" w:hAnsi="Arial Narrow" w:cs="Tahoma"/>
          <w:b/>
          <w:sz w:val="28"/>
          <w:szCs w:val="30"/>
        </w:rPr>
        <w:t>-</w:t>
      </w:r>
      <w:r w:rsidRPr="00FA026E">
        <w:rPr>
          <w:rFonts w:ascii="Arial Narrow" w:hAnsi="Arial Narrow" w:cs="Tahoma"/>
          <w:b/>
          <w:sz w:val="28"/>
          <w:szCs w:val="30"/>
        </w:rPr>
        <w:t>Dec</w:t>
      </w:r>
      <w:r w:rsidR="00214FDD" w:rsidRPr="00FA026E">
        <w:rPr>
          <w:rFonts w:ascii="Arial Narrow" w:hAnsi="Arial Narrow" w:cs="Tahoma"/>
          <w:b/>
          <w:sz w:val="28"/>
          <w:szCs w:val="30"/>
        </w:rPr>
        <w:t xml:space="preserve"> </w:t>
      </w:r>
      <w:r w:rsidR="00214FDD" w:rsidRPr="00FA026E">
        <w:rPr>
          <w:rFonts w:ascii="Arial Narrow" w:hAnsi="Arial Narrow" w:cs="Tahoma"/>
          <w:b/>
          <w:bCs/>
          <w:sz w:val="28"/>
          <w:szCs w:val="30"/>
        </w:rPr>
        <w:t>20</w:t>
      </w:r>
      <w:r w:rsidR="00D775AF" w:rsidRPr="00FA026E">
        <w:rPr>
          <w:rFonts w:ascii="Arial Narrow" w:hAnsi="Arial Narrow" w:cs="Tahoma"/>
          <w:b/>
          <w:bCs/>
          <w:sz w:val="28"/>
          <w:szCs w:val="30"/>
        </w:rPr>
        <w:t>20</w:t>
      </w:r>
      <w:r w:rsidR="00214FDD" w:rsidRPr="00FA026E">
        <w:rPr>
          <w:rFonts w:ascii="Arial Narrow" w:hAnsi="Arial Narrow" w:cs="Tahoma"/>
          <w:b/>
          <w:bCs/>
          <w:sz w:val="28"/>
          <w:szCs w:val="30"/>
        </w:rPr>
        <w:t xml:space="preserve">) </w:t>
      </w:r>
      <w:r w:rsidRPr="00FA026E">
        <w:rPr>
          <w:rFonts w:ascii="Arial Narrow" w:hAnsi="Arial Narrow" w:cs="Tahoma"/>
          <w:b/>
          <w:bCs/>
          <w:sz w:val="28"/>
          <w:szCs w:val="30"/>
        </w:rPr>
        <w:t>increased by</w:t>
      </w:r>
      <w:r w:rsidR="00214FDD" w:rsidRPr="00FA026E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0A16C2" w:rsidRPr="00FA026E">
        <w:rPr>
          <w:rFonts w:ascii="Arial Narrow" w:hAnsi="Arial Narrow" w:cs="Tahoma"/>
          <w:b/>
          <w:bCs/>
          <w:sz w:val="28"/>
          <w:szCs w:val="30"/>
        </w:rPr>
        <w:t>12</w:t>
      </w:r>
      <w:r w:rsidRPr="00FA026E">
        <w:rPr>
          <w:rFonts w:ascii="Arial Narrow" w:hAnsi="Arial Narrow" w:cs="Tahoma"/>
          <w:b/>
          <w:bCs/>
          <w:sz w:val="28"/>
          <w:szCs w:val="30"/>
        </w:rPr>
        <w:t>.</w:t>
      </w:r>
      <w:r w:rsidR="00BD5C2B" w:rsidRPr="00FA026E">
        <w:rPr>
          <w:rFonts w:ascii="Arial Narrow" w:hAnsi="Arial Narrow" w:cs="Tahoma"/>
          <w:b/>
          <w:bCs/>
          <w:sz w:val="28"/>
          <w:szCs w:val="30"/>
        </w:rPr>
        <w:t>1</w:t>
      </w:r>
      <w:r w:rsidR="00214FDD" w:rsidRPr="00FA026E">
        <w:rPr>
          <w:rFonts w:ascii="Arial Narrow" w:hAnsi="Arial Narrow" w:cs="Tahoma"/>
          <w:b/>
          <w:bCs/>
          <w:sz w:val="28"/>
          <w:szCs w:val="30"/>
        </w:rPr>
        <w:t>%</w:t>
      </w:r>
    </w:p>
    <w:p w:rsidR="0042001D" w:rsidRPr="00FA026E" w:rsidRDefault="00213077" w:rsidP="0042001D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FA026E">
        <w:rPr>
          <w:rFonts w:ascii="Arial Narrow" w:hAnsi="Arial Narrow" w:cs="Tahoma"/>
          <w:b/>
          <w:sz w:val="28"/>
        </w:rPr>
        <w:t>Number of employees in industry</w:t>
      </w:r>
      <w:r w:rsidR="0042001D" w:rsidRPr="00FA026E">
        <w:rPr>
          <w:rFonts w:ascii="Arial Narrow" w:hAnsi="Arial Narrow" w:cs="Tahoma"/>
          <w:b/>
          <w:sz w:val="28"/>
        </w:rPr>
        <w:t xml:space="preserve"> (</w:t>
      </w:r>
      <w:r w:rsidRPr="00FA026E">
        <w:rPr>
          <w:rFonts w:ascii="Arial Narrow" w:hAnsi="Arial Narrow" w:cs="Tahoma"/>
          <w:b/>
          <w:sz w:val="28"/>
          <w:szCs w:val="30"/>
        </w:rPr>
        <w:t>Dec</w:t>
      </w:r>
      <w:r w:rsidR="0042001D" w:rsidRPr="00FA026E">
        <w:rPr>
          <w:rFonts w:ascii="Arial Narrow" w:hAnsi="Arial Narrow" w:cs="Tahoma"/>
          <w:b/>
          <w:sz w:val="28"/>
          <w:szCs w:val="30"/>
        </w:rPr>
        <w:t xml:space="preserve"> 2021/</w:t>
      </w:r>
      <w:r w:rsidRPr="00FA026E">
        <w:rPr>
          <w:rFonts w:ascii="Arial Narrow" w:hAnsi="Arial Narrow" w:cs="Tahoma"/>
          <w:b/>
          <w:sz w:val="28"/>
          <w:szCs w:val="30"/>
        </w:rPr>
        <w:t>Dec</w:t>
      </w:r>
      <w:r w:rsidR="0042001D" w:rsidRPr="00FA026E">
        <w:rPr>
          <w:rFonts w:ascii="Arial Narrow" w:hAnsi="Arial Narrow" w:cs="Tahoma"/>
          <w:b/>
          <w:sz w:val="28"/>
          <w:szCs w:val="30"/>
        </w:rPr>
        <w:t xml:space="preserve"> </w:t>
      </w:r>
      <w:r w:rsidR="0042001D" w:rsidRPr="00FA026E">
        <w:rPr>
          <w:rFonts w:ascii="Arial Narrow" w:hAnsi="Arial Narrow" w:cs="Tahoma"/>
          <w:b/>
          <w:bCs/>
          <w:sz w:val="28"/>
          <w:szCs w:val="30"/>
        </w:rPr>
        <w:t>2020</w:t>
      </w:r>
      <w:r w:rsidR="0042001D" w:rsidRPr="00FA026E">
        <w:rPr>
          <w:rFonts w:ascii="Arial Narrow" w:hAnsi="Arial Narrow" w:cs="Tahoma"/>
          <w:b/>
          <w:sz w:val="28"/>
        </w:rPr>
        <w:t xml:space="preserve">) </w:t>
      </w:r>
      <w:r w:rsidRPr="00FA026E">
        <w:rPr>
          <w:rFonts w:ascii="Arial Narrow" w:hAnsi="Arial Narrow" w:cs="Tahoma"/>
          <w:b/>
          <w:sz w:val="28"/>
        </w:rPr>
        <w:t>increased by 0.</w:t>
      </w:r>
      <w:r w:rsidR="00464631" w:rsidRPr="00FA026E">
        <w:rPr>
          <w:rFonts w:ascii="Arial Narrow" w:hAnsi="Arial Narrow" w:cs="Tahoma"/>
          <w:b/>
          <w:sz w:val="28"/>
        </w:rPr>
        <w:t>1%</w:t>
      </w:r>
    </w:p>
    <w:p w:rsidR="00214FDD" w:rsidRPr="00FA026E" w:rsidRDefault="00214FDD" w:rsidP="00214FDD">
      <w:pPr>
        <w:jc w:val="both"/>
        <w:rPr>
          <w:rFonts w:ascii="Arial Narrow" w:hAnsi="Arial Narrow" w:cs="Tahoma"/>
          <w:sz w:val="22"/>
        </w:rPr>
      </w:pPr>
    </w:p>
    <w:p w:rsidR="00521004" w:rsidRPr="00FA026E" w:rsidRDefault="00521004" w:rsidP="005A0D87">
      <w:pPr>
        <w:jc w:val="both"/>
        <w:rPr>
          <w:rFonts w:ascii="Arial Narrow" w:hAnsi="Arial Narrow" w:cs="Tahoma"/>
          <w:sz w:val="22"/>
        </w:rPr>
      </w:pPr>
      <w:r w:rsidRPr="00FA026E">
        <w:rPr>
          <w:rFonts w:ascii="Arial Narrow" w:hAnsi="Arial Narrow" w:cs="Tahoma"/>
          <w:sz w:val="22"/>
        </w:rPr>
        <w:t xml:space="preserve">Industrial production in Republika Srpska in the period January – December 2021, compared to the same period of 2020, increased by 12.1%. During the same period, in the section </w:t>
      </w:r>
      <w:r w:rsidRPr="00FA026E">
        <w:rPr>
          <w:rFonts w:ascii="Arial Narrow" w:hAnsi="Arial Narrow" w:cs="Tahoma"/>
          <w:i/>
          <w:sz w:val="22"/>
        </w:rPr>
        <w:t>Electricity, gas, steam and air-conditioning supply</w:t>
      </w:r>
      <w:r w:rsidRPr="00FA026E">
        <w:rPr>
          <w:rFonts w:ascii="Arial Narrow" w:hAnsi="Arial Narrow" w:cs="Tahoma"/>
          <w:sz w:val="22"/>
        </w:rPr>
        <w:t xml:space="preserve"> an increase by 16.7% was recorded, in the section </w:t>
      </w:r>
      <w:r w:rsidRPr="00FA026E">
        <w:rPr>
          <w:rFonts w:ascii="Arial Narrow" w:hAnsi="Arial Narrow" w:cs="Tahoma"/>
          <w:i/>
          <w:sz w:val="22"/>
        </w:rPr>
        <w:t>Manufacturing</w:t>
      </w:r>
      <w:r w:rsidRPr="00FA026E">
        <w:rPr>
          <w:rFonts w:ascii="Arial Narrow" w:hAnsi="Arial Narrow" w:cs="Tahoma"/>
          <w:sz w:val="22"/>
        </w:rPr>
        <w:t xml:space="preserve"> an increase by 12.1% and in the section </w:t>
      </w:r>
      <w:r w:rsidRPr="00FA026E">
        <w:rPr>
          <w:rFonts w:ascii="Arial Narrow" w:hAnsi="Arial Narrow" w:cs="Tahoma"/>
          <w:i/>
          <w:sz w:val="22"/>
        </w:rPr>
        <w:t>Mining and quarrying</w:t>
      </w:r>
      <w:r w:rsidRPr="00FA026E">
        <w:rPr>
          <w:rFonts w:ascii="Arial Narrow" w:hAnsi="Arial Narrow" w:cs="Tahoma"/>
          <w:sz w:val="22"/>
        </w:rPr>
        <w:t xml:space="preserve"> an increase by 2.0%</w:t>
      </w:r>
    </w:p>
    <w:p w:rsidR="00521004" w:rsidRPr="00FA026E" w:rsidRDefault="00521004" w:rsidP="005A0D87">
      <w:pPr>
        <w:jc w:val="both"/>
        <w:rPr>
          <w:rFonts w:ascii="Arial Narrow" w:hAnsi="Arial Narrow" w:cs="Tahoma"/>
          <w:sz w:val="22"/>
        </w:rPr>
      </w:pPr>
    </w:p>
    <w:p w:rsidR="00521004" w:rsidRPr="00FA026E" w:rsidRDefault="00521004" w:rsidP="005A0D87">
      <w:pPr>
        <w:jc w:val="both"/>
        <w:rPr>
          <w:rFonts w:ascii="Arial Narrow" w:hAnsi="Arial Narrow" w:cs="Tahoma"/>
          <w:sz w:val="22"/>
        </w:rPr>
      </w:pPr>
    </w:p>
    <w:p w:rsidR="00CB26BC" w:rsidRPr="00FA026E" w:rsidRDefault="00CB26BC" w:rsidP="005A0D87">
      <w:pPr>
        <w:jc w:val="both"/>
        <w:rPr>
          <w:rFonts w:ascii="Arial Narrow" w:hAnsi="Arial Narrow" w:cs="Tahoma"/>
          <w:sz w:val="22"/>
        </w:rPr>
      </w:pPr>
      <w:r w:rsidRPr="00FA026E">
        <w:rPr>
          <w:rFonts w:ascii="Arial Narrow" w:hAnsi="Arial Narrow" w:cs="Tahoma"/>
          <w:sz w:val="22"/>
        </w:rPr>
        <w:t xml:space="preserve">The increase in industrial production recorded in the section </w:t>
      </w:r>
      <w:r w:rsidRPr="00FA026E">
        <w:rPr>
          <w:rFonts w:ascii="Arial Narrow" w:hAnsi="Arial Narrow" w:cs="Tahoma"/>
          <w:i/>
          <w:sz w:val="22"/>
        </w:rPr>
        <w:t xml:space="preserve">Manufacturing </w:t>
      </w:r>
      <w:r w:rsidRPr="00FA026E">
        <w:rPr>
          <w:rFonts w:ascii="Arial Narrow" w:hAnsi="Arial Narrow" w:cs="Tahoma"/>
          <w:sz w:val="22"/>
        </w:rPr>
        <w:t xml:space="preserve">occurred mainly due to an increase recorded in the following divisions: </w:t>
      </w:r>
      <w:r w:rsidRPr="00FA026E">
        <w:rPr>
          <w:rFonts w:ascii="Arial Narrow" w:hAnsi="Arial Narrow" w:cs="Tahoma"/>
          <w:i/>
          <w:sz w:val="22"/>
        </w:rPr>
        <w:t xml:space="preserve">Manufacture of fabricated metal products, except machinery and equipment </w:t>
      </w:r>
      <w:r w:rsidRPr="00FA026E">
        <w:rPr>
          <w:rFonts w:ascii="Arial Narrow" w:hAnsi="Arial Narrow" w:cs="Tahoma"/>
          <w:sz w:val="22"/>
        </w:rPr>
        <w:t xml:space="preserve">with an increase by 22.6%, </w:t>
      </w:r>
      <w:r w:rsidRPr="00FA026E">
        <w:rPr>
          <w:rFonts w:ascii="Arial Narrow" w:hAnsi="Arial Narrow" w:cs="Tahoma"/>
          <w:i/>
          <w:sz w:val="22"/>
        </w:rPr>
        <w:t>Manufacture of leather and related products</w:t>
      </w:r>
      <w:r w:rsidRPr="00FA026E">
        <w:rPr>
          <w:rFonts w:ascii="Arial Narrow" w:hAnsi="Arial Narrow" w:cs="Tahoma"/>
          <w:sz w:val="22"/>
        </w:rPr>
        <w:t xml:space="preserve"> with an increase by 13.3%, </w:t>
      </w:r>
      <w:r w:rsidRPr="00FA026E">
        <w:rPr>
          <w:rFonts w:ascii="Arial Narrow" w:hAnsi="Arial Narrow" w:cs="Tahoma"/>
          <w:i/>
          <w:sz w:val="22"/>
        </w:rPr>
        <w:t xml:space="preserve">Manufacture of furniture </w:t>
      </w:r>
      <w:r w:rsidRPr="00FA026E">
        <w:rPr>
          <w:rFonts w:ascii="Arial Narrow" w:hAnsi="Arial Narrow" w:cs="Tahoma"/>
          <w:sz w:val="22"/>
        </w:rPr>
        <w:t xml:space="preserve">with an increase by 13.2%, </w:t>
      </w:r>
      <w:r w:rsidRPr="00FA026E">
        <w:rPr>
          <w:rFonts w:ascii="Arial Narrow" w:hAnsi="Arial Narrow" w:cs="Tahoma"/>
          <w:i/>
          <w:sz w:val="22"/>
        </w:rPr>
        <w:t xml:space="preserve">Manufacture of wood and of products of wood and cork, except furniture; manufacture of articles of straw and plaiting materials </w:t>
      </w:r>
      <w:r w:rsidRPr="00FA026E">
        <w:rPr>
          <w:rFonts w:ascii="Arial Narrow" w:hAnsi="Arial Narrow" w:cs="Tahoma"/>
          <w:sz w:val="22"/>
        </w:rPr>
        <w:t xml:space="preserve">with an increase by 6.2% and </w:t>
      </w:r>
      <w:r w:rsidRPr="00FA026E">
        <w:rPr>
          <w:rFonts w:ascii="Arial Narrow" w:hAnsi="Arial Narrow" w:cs="Tahoma"/>
          <w:i/>
          <w:sz w:val="22"/>
        </w:rPr>
        <w:t xml:space="preserve">Manufacture of food products </w:t>
      </w:r>
      <w:r w:rsidRPr="00FA026E">
        <w:rPr>
          <w:rFonts w:ascii="Arial Narrow" w:hAnsi="Arial Narrow" w:cs="Tahoma"/>
          <w:sz w:val="22"/>
        </w:rPr>
        <w:t xml:space="preserve">with an increase by 2.0%. In the section </w:t>
      </w:r>
      <w:r w:rsidRPr="00FA026E">
        <w:rPr>
          <w:rFonts w:ascii="Arial Narrow" w:hAnsi="Arial Narrow" w:cs="Tahoma"/>
          <w:i/>
          <w:sz w:val="22"/>
        </w:rPr>
        <w:t xml:space="preserve">Mining and quarrying, </w:t>
      </w:r>
      <w:r w:rsidRPr="00FA026E">
        <w:rPr>
          <w:rFonts w:ascii="Arial Narrow" w:hAnsi="Arial Narrow" w:cs="Tahoma"/>
          <w:sz w:val="22"/>
        </w:rPr>
        <w:t xml:space="preserve">the highest increase in industrial production was recorded in the division </w:t>
      </w:r>
      <w:r w:rsidRPr="00FA026E">
        <w:rPr>
          <w:rFonts w:ascii="Arial Narrow" w:hAnsi="Arial Narrow" w:cs="Tahoma"/>
          <w:i/>
          <w:sz w:val="22"/>
        </w:rPr>
        <w:t xml:space="preserve">Mining of metal ores, </w:t>
      </w:r>
      <w:r w:rsidRPr="00FA026E">
        <w:rPr>
          <w:rFonts w:ascii="Arial Narrow" w:hAnsi="Arial Narrow" w:cs="Tahoma"/>
          <w:sz w:val="22"/>
        </w:rPr>
        <w:t xml:space="preserve">namely by </w:t>
      </w:r>
      <w:r w:rsidR="001E7B60" w:rsidRPr="00FA026E">
        <w:rPr>
          <w:rFonts w:ascii="Arial Narrow" w:hAnsi="Arial Narrow" w:cs="Tahoma"/>
          <w:sz w:val="22"/>
        </w:rPr>
        <w:t>9.3</w:t>
      </w:r>
      <w:r w:rsidRPr="00FA026E">
        <w:rPr>
          <w:rFonts w:ascii="Arial Narrow" w:hAnsi="Arial Narrow" w:cs="Tahoma"/>
          <w:sz w:val="22"/>
        </w:rPr>
        <w:t>%.</w:t>
      </w:r>
    </w:p>
    <w:p w:rsidR="00CB26BC" w:rsidRPr="00FA026E" w:rsidRDefault="006C3F59" w:rsidP="005A0D87">
      <w:pPr>
        <w:jc w:val="both"/>
        <w:rPr>
          <w:rFonts w:ascii="Arial Narrow" w:hAnsi="Arial Narrow" w:cs="Tahoma"/>
          <w:sz w:val="22"/>
        </w:rPr>
      </w:pPr>
      <w:r w:rsidRPr="00FA026E">
        <w:rPr>
          <w:rFonts w:ascii="Arial Narrow" w:hAnsi="Arial Narrow" w:cs="Tahoma"/>
          <w:b/>
          <w:sz w:val="22"/>
        </w:rPr>
        <w:t xml:space="preserve">Working-day adjusted industrial production </w:t>
      </w:r>
      <w:r w:rsidRPr="00FA026E">
        <w:rPr>
          <w:rFonts w:ascii="Arial Narrow" w:hAnsi="Arial Narrow" w:cs="Tahoma"/>
          <w:sz w:val="22"/>
        </w:rPr>
        <w:t xml:space="preserve">in Republika Srpska in December 2021, compared to December 2020, increased by 6.9%, while </w:t>
      </w:r>
      <w:r w:rsidRPr="00FA026E">
        <w:rPr>
          <w:rFonts w:ascii="Arial Narrow" w:hAnsi="Arial Narrow" w:cs="Tahoma"/>
          <w:b/>
          <w:sz w:val="22"/>
        </w:rPr>
        <w:t xml:space="preserve">seasonally adjusted industrial production </w:t>
      </w:r>
      <w:r w:rsidRPr="00FA026E">
        <w:rPr>
          <w:rFonts w:ascii="Arial Narrow" w:hAnsi="Arial Narrow" w:cs="Tahoma"/>
          <w:sz w:val="22"/>
        </w:rPr>
        <w:t>in December 2021, compared to November 2021, increased by 0.8%.</w:t>
      </w:r>
    </w:p>
    <w:p w:rsidR="0012404A" w:rsidRPr="00FA026E" w:rsidRDefault="0012404A" w:rsidP="00F530DE">
      <w:pPr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FA026E" w:rsidRDefault="00B4160D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FA02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C7DEC0" wp14:editId="59B95579">
                <wp:simplePos x="0" y="0"/>
                <wp:positionH relativeFrom="margin">
                  <wp:posOffset>3833165</wp:posOffset>
                </wp:positionH>
                <wp:positionV relativeFrom="paragraph">
                  <wp:posOffset>2514879</wp:posOffset>
                </wp:positionV>
                <wp:extent cx="914400" cy="2762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160D" w:rsidRDefault="00B4160D" w:rsidP="00B4160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DEC0" id="Text Box 27" o:spid="_x0000_s1029" type="#_x0000_t202" style="position:absolute;left:0;text-align:left;margin-left:301.8pt;margin-top:198pt;width:1in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" fillcolor="window" stroked="f" strokeweight=".5pt">
                <v:textbox>
                  <w:txbxContent>
                    <w:p w:rsidR="00B4160D" w:rsidRDefault="00B4160D" w:rsidP="00B4160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02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0D6171" wp14:editId="3F6022BD">
                <wp:simplePos x="0" y="0"/>
                <wp:positionH relativeFrom="margin">
                  <wp:posOffset>2333548</wp:posOffset>
                </wp:positionH>
                <wp:positionV relativeFrom="paragraph">
                  <wp:posOffset>2513178</wp:posOffset>
                </wp:positionV>
                <wp:extent cx="1248354" cy="2762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160D" w:rsidRDefault="00B4160D" w:rsidP="00B4160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6171" id="Text Box 26" o:spid="_x0000_s1030" type="#_x0000_t202" style="position:absolute;left:0;text-align:left;margin-left:183.75pt;margin-top:197.9pt;width:98.3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" fillcolor="window" stroked="f" strokeweight=".5pt">
                <v:textbox>
                  <w:txbxContent>
                    <w:p w:rsidR="00B4160D" w:rsidRDefault="00B4160D" w:rsidP="00B4160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68" w:rsidRPr="00FA026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2674696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78.05pt;margin-top:210.6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0F2395" w:rsidRPr="00FA026E">
        <w:rPr>
          <w:noProof/>
        </w:rPr>
        <w:drawing>
          <wp:inline distT="0" distB="0" distL="0" distR="0" wp14:anchorId="10855DE7" wp14:editId="67701B71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FA026E" w:rsidRDefault="00E923F1" w:rsidP="00E15D41">
      <w:pPr>
        <w:jc w:val="center"/>
        <w:rPr>
          <w:rFonts w:ascii="Arial Narrow" w:hAnsi="Arial Narrow" w:cs="Tahoma"/>
          <w:sz w:val="16"/>
          <w:szCs w:val="16"/>
        </w:rPr>
      </w:pPr>
      <w:r w:rsidRPr="00FA026E">
        <w:rPr>
          <w:rFonts w:ascii="Arial Narrow" w:hAnsi="Arial Narrow" w:cs="Tahoma"/>
          <w:sz w:val="16"/>
          <w:szCs w:val="16"/>
        </w:rPr>
        <w:t>Graph</w:t>
      </w:r>
      <w:r w:rsidR="00E15D41" w:rsidRPr="00FA026E">
        <w:rPr>
          <w:rFonts w:ascii="Arial Narrow" w:hAnsi="Arial Narrow" w:cs="Tahoma"/>
          <w:sz w:val="16"/>
          <w:szCs w:val="16"/>
        </w:rPr>
        <w:t xml:space="preserve"> 3. </w:t>
      </w:r>
      <w:r w:rsidRPr="00FA026E">
        <w:rPr>
          <w:rFonts w:ascii="Arial Narrow" w:hAnsi="Arial Narrow" w:cs="Tahoma"/>
          <w:sz w:val="16"/>
          <w:szCs w:val="16"/>
        </w:rPr>
        <w:t>Indices of industrial production, December</w:t>
      </w:r>
      <w:r w:rsidR="00E15D41" w:rsidRPr="00FA026E">
        <w:rPr>
          <w:rFonts w:ascii="Arial Narrow" w:hAnsi="Arial Narrow" w:cs="Tahoma"/>
          <w:sz w:val="16"/>
          <w:szCs w:val="16"/>
        </w:rPr>
        <w:t xml:space="preserve"> 201</w:t>
      </w:r>
      <w:r w:rsidR="001C0459" w:rsidRPr="00FA026E">
        <w:rPr>
          <w:rFonts w:ascii="Arial Narrow" w:hAnsi="Arial Narrow" w:cs="Tahoma"/>
          <w:sz w:val="16"/>
          <w:szCs w:val="16"/>
        </w:rPr>
        <w:t>7</w:t>
      </w:r>
      <w:r w:rsidR="00E15D41" w:rsidRPr="00FA026E">
        <w:rPr>
          <w:rFonts w:ascii="Arial Narrow" w:hAnsi="Arial Narrow" w:cs="Tahoma"/>
          <w:sz w:val="16"/>
          <w:szCs w:val="16"/>
        </w:rPr>
        <w:t xml:space="preserve"> – </w:t>
      </w:r>
      <w:r w:rsidRPr="00FA026E">
        <w:rPr>
          <w:rFonts w:ascii="Arial Narrow" w:hAnsi="Arial Narrow" w:cs="Tahoma"/>
          <w:sz w:val="16"/>
          <w:szCs w:val="16"/>
        </w:rPr>
        <w:t>December</w:t>
      </w:r>
      <w:r w:rsidR="00214FDD" w:rsidRPr="00FA026E">
        <w:rPr>
          <w:rFonts w:ascii="Arial Narrow" w:hAnsi="Arial Narrow" w:cs="Tahoma"/>
          <w:sz w:val="16"/>
          <w:szCs w:val="16"/>
        </w:rPr>
        <w:t xml:space="preserve"> </w:t>
      </w:r>
      <w:r w:rsidR="00E15D41" w:rsidRPr="00FA026E">
        <w:rPr>
          <w:rFonts w:ascii="Arial Narrow" w:hAnsi="Arial Narrow" w:cs="Tahoma"/>
          <w:sz w:val="16"/>
          <w:szCs w:val="16"/>
        </w:rPr>
        <w:t>202</w:t>
      </w:r>
      <w:r w:rsidR="001C0459" w:rsidRPr="00FA026E">
        <w:rPr>
          <w:rFonts w:ascii="Arial Narrow" w:hAnsi="Arial Narrow" w:cs="Tahoma"/>
          <w:sz w:val="16"/>
          <w:szCs w:val="16"/>
        </w:rPr>
        <w:t>1</w:t>
      </w:r>
      <w:r w:rsidR="00E15D41" w:rsidRPr="00FA026E">
        <w:rPr>
          <w:rFonts w:ascii="Arial Narrow" w:hAnsi="Arial Narrow" w:cs="Tahoma"/>
          <w:sz w:val="16"/>
          <w:szCs w:val="16"/>
        </w:rPr>
        <w:t xml:space="preserve"> (</w:t>
      </w:r>
      <w:r w:rsidR="00E15D41" w:rsidRPr="00FA026E">
        <w:rPr>
          <w:rFonts w:ascii="Arial Narrow" w:hAnsi="Arial Narrow" w:cs="Tahoma"/>
          <w:sz w:val="16"/>
          <w:szCs w:val="16"/>
        </w:rPr>
        <w:sym w:font="Symbol" w:char="F0C6"/>
      </w:r>
      <w:r w:rsidR="00E15D41" w:rsidRPr="00FA026E">
        <w:rPr>
          <w:rFonts w:ascii="Arial Narrow" w:hAnsi="Arial Narrow" w:cs="Tahoma"/>
          <w:sz w:val="16"/>
          <w:szCs w:val="16"/>
        </w:rPr>
        <w:t>2015=100)</w:t>
      </w:r>
    </w:p>
    <w:p w:rsidR="00C520F2" w:rsidRPr="00FA026E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FA026E" w:rsidRDefault="0097485C" w:rsidP="0097485C">
      <w:pPr>
        <w:jc w:val="both"/>
        <w:rPr>
          <w:rFonts w:ascii="Arial Narrow" w:hAnsi="Arial Narrow" w:cs="Tahoma"/>
          <w:sz w:val="22"/>
        </w:rPr>
      </w:pPr>
    </w:p>
    <w:p w:rsidR="00F530DE" w:rsidRPr="00FA026E" w:rsidRDefault="00F530DE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b/>
          <w:sz w:val="22"/>
          <w:lang w:val="en-US"/>
        </w:rPr>
      </w:pPr>
      <w:r w:rsidRPr="00FA026E">
        <w:rPr>
          <w:rFonts w:ascii="Arial Narrow" w:hAnsi="Arial Narrow" w:cs="Tahoma"/>
          <w:b/>
          <w:sz w:val="22"/>
          <w:lang w:val="en-US"/>
        </w:rPr>
        <w:t>Number of employees in industry</w:t>
      </w:r>
      <w:r w:rsidRPr="00FA026E">
        <w:rPr>
          <w:rFonts w:ascii="Arial Narrow" w:hAnsi="Arial Narrow" w:cs="Tahoma"/>
          <w:sz w:val="22"/>
          <w:lang w:val="en-US"/>
        </w:rPr>
        <w:t xml:space="preserve"> in December 2021, compared to the same month of the previous year, was 0.1% higher, while compared to November 2021 it was 0.3% lower</w:t>
      </w:r>
    </w:p>
    <w:p w:rsidR="0097485C" w:rsidRPr="00FA026E" w:rsidRDefault="00F530DE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FA026E">
        <w:rPr>
          <w:rFonts w:ascii="Arial Narrow" w:hAnsi="Arial Narrow" w:cs="Tahoma"/>
          <w:sz w:val="22"/>
          <w:lang w:val="en-US"/>
        </w:rPr>
        <w:t>Number of employees in industry in the period January – December 2021, compared to the same period of the previous year, was 1.1% lower</w:t>
      </w:r>
      <w:r w:rsidR="0097485C" w:rsidRPr="00FA026E">
        <w:rPr>
          <w:rFonts w:ascii="Arial Narrow" w:hAnsi="Arial Narrow" w:cs="Tahoma"/>
          <w:sz w:val="22"/>
          <w:lang w:val="en-US"/>
        </w:rPr>
        <w:t>.</w:t>
      </w:r>
      <w:r w:rsidR="0097485C" w:rsidRPr="00FA026E">
        <w:rPr>
          <w:rFonts w:ascii="Arial Narrow" w:hAnsi="Arial Narrow" w:cs="Tahoma"/>
          <w:sz w:val="22"/>
          <w:szCs w:val="22"/>
          <w:lang w:val="en-US"/>
        </w:rPr>
        <w:t xml:space="preserve"> </w:t>
      </w:r>
    </w:p>
    <w:p w:rsidR="0097485C" w:rsidRPr="00FA026E" w:rsidRDefault="0097485C" w:rsidP="0097485C">
      <w:pPr>
        <w:jc w:val="both"/>
        <w:rPr>
          <w:rFonts w:ascii="Arial Narrow" w:hAnsi="Arial Narrow" w:cs="Tahoma"/>
          <w:sz w:val="22"/>
          <w:szCs w:val="22"/>
        </w:rPr>
      </w:pPr>
    </w:p>
    <w:p w:rsidR="0097485C" w:rsidRPr="00FA026E" w:rsidRDefault="0097485C" w:rsidP="006D1F0C">
      <w:pPr>
        <w:jc w:val="both"/>
        <w:rPr>
          <w:rFonts w:ascii="Arial Narrow" w:hAnsi="Arial Narrow" w:cs="Tahoma"/>
          <w:sz w:val="16"/>
          <w:szCs w:val="16"/>
        </w:rPr>
      </w:pPr>
    </w:p>
    <w:p w:rsidR="0072482B" w:rsidRPr="00FA026E" w:rsidRDefault="004071C1" w:rsidP="0072482B">
      <w:pPr>
        <w:rPr>
          <w:rFonts w:ascii="Arial Narrow" w:hAnsi="Arial Narrow" w:cs="Tahoma"/>
          <w:b/>
          <w:sz w:val="30"/>
          <w:szCs w:val="30"/>
        </w:rPr>
      </w:pPr>
      <w:r w:rsidRPr="00FA026E">
        <w:rPr>
          <w:rFonts w:ascii="Arial Narrow" w:hAnsi="Arial Narrow" w:cs="Tahoma"/>
          <w:b/>
          <w:sz w:val="30"/>
          <w:szCs w:val="30"/>
        </w:rPr>
        <w:t>Coverage of import with export – record value in 2021</w:t>
      </w:r>
    </w:p>
    <w:p w:rsidR="0072482B" w:rsidRPr="00FA026E" w:rsidRDefault="0072482B" w:rsidP="0072482B">
      <w:pPr>
        <w:jc w:val="both"/>
        <w:rPr>
          <w:rFonts w:ascii="Arial Narrow" w:hAnsi="Arial Narrow" w:cs="Tahoma"/>
          <w:sz w:val="22"/>
        </w:rPr>
      </w:pPr>
    </w:p>
    <w:p w:rsidR="0046054B" w:rsidRPr="00FA026E" w:rsidRDefault="0046054B" w:rsidP="0046054B">
      <w:pPr>
        <w:jc w:val="both"/>
        <w:rPr>
          <w:rFonts w:ascii="Arial Narrow" w:hAnsi="Arial Narrow" w:cs="Tahoma"/>
          <w:sz w:val="22"/>
        </w:rPr>
      </w:pPr>
      <w:r w:rsidRPr="00FA026E">
        <w:rPr>
          <w:rFonts w:ascii="Arial Narrow" w:hAnsi="Arial Narrow" w:cs="Tahoma"/>
          <w:sz w:val="22"/>
        </w:rPr>
        <w:t xml:space="preserve">In the period January-December 2021, the value of export was four billion and 428 million KM, which represented an increase by 30.5% compared to the period January-December 2020, while the value of import was five billion and 580 million KM, which represented an increase by 24.8% compared to the period January-December 2020. The percentage of coverage of import with export in 2021 amounted to 79.4%; the highest coverage at the annual level recorded so far. </w:t>
      </w:r>
    </w:p>
    <w:p w:rsidR="0072482B" w:rsidRPr="00FA026E" w:rsidRDefault="0072482B" w:rsidP="0072482B">
      <w:pPr>
        <w:jc w:val="both"/>
        <w:rPr>
          <w:rFonts w:ascii="Arial Narrow" w:hAnsi="Arial Narrow" w:cs="Tahoma"/>
          <w:sz w:val="22"/>
        </w:rPr>
      </w:pPr>
    </w:p>
    <w:p w:rsidR="0046054B" w:rsidRPr="00FA026E" w:rsidRDefault="0046054B" w:rsidP="0046054B">
      <w:pPr>
        <w:jc w:val="both"/>
        <w:rPr>
          <w:rFonts w:ascii="Arial Narrow" w:hAnsi="Arial Narrow" w:cs="Tahoma"/>
          <w:color w:val="FF0000"/>
          <w:sz w:val="22"/>
          <w:szCs w:val="22"/>
        </w:rPr>
      </w:pPr>
      <w:r w:rsidRPr="00FA026E">
        <w:rPr>
          <w:rFonts w:ascii="Arial Narrow" w:hAnsi="Arial Narrow" w:cs="Tahoma"/>
          <w:color w:val="000000" w:themeColor="text1"/>
          <w:sz w:val="22"/>
        </w:rPr>
        <w:t xml:space="preserve">In December 2021, the value of export was 400 million KM, </w:t>
      </w:r>
      <w:r w:rsidRPr="00FA026E">
        <w:rPr>
          <w:rFonts w:ascii="Arial Narrow" w:hAnsi="Arial Narrow" w:cs="Tahoma"/>
          <w:sz w:val="22"/>
        </w:rPr>
        <w:t xml:space="preserve">which represented an increase by </w:t>
      </w:r>
      <w:r w:rsidR="00383CEC">
        <w:rPr>
          <w:rFonts w:ascii="Arial Narrow" w:hAnsi="Arial Narrow" w:cs="Tahoma"/>
          <w:sz w:val="22"/>
        </w:rPr>
        <w:t>30.5</w:t>
      </w:r>
      <w:r w:rsidRPr="00FA026E">
        <w:rPr>
          <w:rFonts w:ascii="Arial Narrow" w:hAnsi="Arial Narrow" w:cs="Tahoma"/>
          <w:sz w:val="22"/>
        </w:rPr>
        <w:t xml:space="preserve">% compared to the same month of 2020, while the value of import was 524 million KM, which represented an increase by </w:t>
      </w:r>
      <w:r w:rsidR="00383CEC">
        <w:rPr>
          <w:rFonts w:ascii="Arial Narrow" w:hAnsi="Arial Narrow" w:cs="Tahoma"/>
          <w:sz w:val="22"/>
        </w:rPr>
        <w:t>27.2</w:t>
      </w:r>
      <w:r w:rsidRPr="00FA026E">
        <w:rPr>
          <w:rFonts w:ascii="Arial Narrow" w:hAnsi="Arial Narrow" w:cs="Tahoma"/>
          <w:sz w:val="22"/>
        </w:rPr>
        <w:t xml:space="preserve">% compared to December 2020. The percentage of coverage of import with export was 76.4%. </w:t>
      </w:r>
    </w:p>
    <w:p w:rsidR="0046054B" w:rsidRPr="00FA026E" w:rsidRDefault="0046054B" w:rsidP="0072482B">
      <w:pPr>
        <w:jc w:val="both"/>
        <w:rPr>
          <w:rFonts w:ascii="Arial Narrow" w:hAnsi="Arial Narrow" w:cs="Tahoma"/>
          <w:sz w:val="22"/>
          <w:szCs w:val="22"/>
        </w:rPr>
      </w:pPr>
    </w:p>
    <w:p w:rsidR="0046054B" w:rsidRPr="00FA026E" w:rsidRDefault="0046054B" w:rsidP="0046054B">
      <w:pPr>
        <w:jc w:val="both"/>
        <w:rPr>
          <w:rFonts w:ascii="Arial Narrow" w:hAnsi="Arial Narrow" w:cs="Tahoma"/>
          <w:sz w:val="22"/>
          <w:szCs w:val="22"/>
        </w:rPr>
      </w:pPr>
      <w:r w:rsidRPr="00FA026E">
        <w:rPr>
          <w:rFonts w:ascii="Arial Narrow" w:hAnsi="Arial Narrow" w:cs="Tahoma"/>
          <w:sz w:val="22"/>
        </w:rPr>
        <w:t>In terms of the geographical distribution of external trade of Republika Srpska, in the period January – December 2021, the highest value of export was that of export to Serbia, with 660 million KM or 14.9%, followed by Italy, with 620 million KM or 14.0% of the total realised export. During the same period, the highest value of import was that of import form Serbia, with one billion and 39 million KM or 18.6%, followed by Italy, with 833 million KM or 14.9% of the total realised import.</w:t>
      </w:r>
    </w:p>
    <w:p w:rsidR="0072482B" w:rsidRPr="00FA026E" w:rsidRDefault="0072482B" w:rsidP="0072482B">
      <w:pPr>
        <w:jc w:val="both"/>
        <w:rPr>
          <w:rFonts w:ascii="Arial Narrow" w:hAnsi="Arial Narrow" w:cs="Tahoma"/>
          <w:sz w:val="22"/>
          <w:szCs w:val="22"/>
        </w:rPr>
      </w:pPr>
    </w:p>
    <w:p w:rsidR="0072482B" w:rsidRPr="00FA026E" w:rsidRDefault="007675F7" w:rsidP="0072482B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FA026E">
        <w:rPr>
          <w:rFonts w:ascii="Arial Narrow" w:hAnsi="Arial Narrow" w:cs="Tahoma"/>
          <w:sz w:val="22"/>
        </w:rPr>
        <w:t>By group of products, in the period January – December 2021, the highest share in export was that of electricity, with the total value of 539 million KM, which was 8.1% of the total export, while the highest share in import was that of petroleum oils, with the total value of 280 million KM, which was 5.0% of the total import.</w:t>
      </w:r>
    </w:p>
    <w:p w:rsidR="003206D9" w:rsidRPr="00FA026E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FC731C" w:rsidRPr="00FA026E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D6653" w:rsidRPr="00FA026E" w:rsidRDefault="005D66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23EAB" w:rsidRPr="00FA026E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FA026E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6602CA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2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6602CA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 xml:space="preserve">. 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FA026E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A6276" w:rsidRPr="00FA026E" w:rsidRDefault="006602CA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FA02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F3731" wp14:editId="1C051B55">
                <wp:simplePos x="0" y="0"/>
                <wp:positionH relativeFrom="margin">
                  <wp:posOffset>5427878</wp:posOffset>
                </wp:positionH>
                <wp:positionV relativeFrom="paragraph">
                  <wp:posOffset>1445565</wp:posOffset>
                </wp:positionV>
                <wp:extent cx="533400" cy="2762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02CA" w:rsidRDefault="006602CA" w:rsidP="006602C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3731" id="Text Box 8" o:spid="_x0000_s1033" type="#_x0000_t202" style="position:absolute;left:0;text-align:left;margin-left:427.4pt;margin-top:113.8pt;width:42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" fillcolor="window" stroked="f" strokeweight=".5pt">
                <v:textbox>
                  <w:txbxContent>
                    <w:p w:rsidR="006602CA" w:rsidRDefault="006602CA" w:rsidP="006602C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02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F3731" wp14:editId="1C051B55">
                <wp:simplePos x="0" y="0"/>
                <wp:positionH relativeFrom="margin">
                  <wp:posOffset>5427879</wp:posOffset>
                </wp:positionH>
                <wp:positionV relativeFrom="paragraph">
                  <wp:posOffset>1206195</wp:posOffset>
                </wp:positionV>
                <wp:extent cx="533400" cy="2762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02CA" w:rsidRDefault="006602CA" w:rsidP="006602C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3731" id="Text Box 25" o:spid="_x0000_s1034" type="#_x0000_t202" style="position:absolute;left:0;text-align:left;margin-left:427.4pt;margin-top:95pt;width:42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" fillcolor="window" stroked="f" strokeweight=".5pt">
                <v:textbox>
                  <w:txbxContent>
                    <w:p w:rsidR="006602CA" w:rsidRDefault="006602CA" w:rsidP="006602C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82B" w:rsidRPr="00FA026E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1112851</wp:posOffset>
                </wp:positionH>
                <wp:positionV relativeFrom="paragraph">
                  <wp:posOffset>2743835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5" type="#_x0000_t202" style="position:absolute;left:0;text-align:left;margin-left:87.65pt;margin-top:216.0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536BD" w:rsidRPr="00FA026E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3446713</wp:posOffset>
                </wp:positionH>
                <wp:positionV relativeFrom="paragraph">
                  <wp:posOffset>2748583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6" type="#_x0000_t202" style="position:absolute;left:0;text-align:left;margin-left:271.4pt;margin-top:216.4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WA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En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2482B" w:rsidRPr="00FA026E">
        <w:rPr>
          <w:noProof/>
        </w:rPr>
        <w:drawing>
          <wp:inline distT="0" distB="0" distL="0" distR="0" wp14:anchorId="1F7DDF6A" wp14:editId="3F2BFF0D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FA026E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6657A3" w:rsidRPr="00FA026E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1264C" w:rsidRPr="00FA026E" w:rsidRDefault="006602CA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FA026E">
        <w:rPr>
          <w:rFonts w:ascii="Arial Narrow" w:hAnsi="Arial Narrow" w:cs="Tahoma"/>
          <w:sz w:val="16"/>
          <w:szCs w:val="22"/>
        </w:rPr>
        <w:t>Graph</w:t>
      </w:r>
      <w:r w:rsidR="0031264C" w:rsidRPr="00FA026E">
        <w:rPr>
          <w:rFonts w:ascii="Arial Narrow" w:hAnsi="Arial Narrow" w:cs="Tahoma"/>
          <w:sz w:val="16"/>
          <w:szCs w:val="22"/>
        </w:rPr>
        <w:t xml:space="preserve"> 4. </w:t>
      </w:r>
      <w:r w:rsidRPr="00FA026E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5A6276" w:rsidRPr="00FA026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A026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A026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A026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6D1F0C" w:rsidRPr="00FA026E" w:rsidRDefault="006D1F0C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FA026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FA026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FA026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FA026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FA026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FA026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FA026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FA026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FA026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FA026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FA026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  <w:bookmarkStart w:id="0" w:name="_GoBack"/>
      <w:bookmarkEnd w:id="0"/>
    </w:p>
    <w:p w:rsidR="00AE0432" w:rsidRPr="00FA026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FA026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FA026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FA026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0F2395" w:rsidRPr="00FA026E" w:rsidRDefault="000F239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0F2395" w:rsidRPr="00FA026E" w:rsidRDefault="000F239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0F2395" w:rsidRPr="00FA026E" w:rsidRDefault="000F239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0F2395" w:rsidRPr="00FA026E" w:rsidRDefault="000F239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0F2395" w:rsidRPr="00FA026E" w:rsidRDefault="000F239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FA026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FA026E" w:rsidRDefault="00AE0432" w:rsidP="00ED6181">
      <w:pPr>
        <w:tabs>
          <w:tab w:val="left" w:pos="2535"/>
        </w:tabs>
        <w:rPr>
          <w:rFonts w:ascii="Arial Narrow" w:hAnsi="Arial Narrow" w:cs="Tahoma"/>
          <w:b/>
          <w:sz w:val="30"/>
          <w:szCs w:val="30"/>
        </w:rPr>
      </w:pPr>
    </w:p>
    <w:p w:rsidR="006A1425" w:rsidRPr="00FA026E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FA026E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A026E" w:rsidRDefault="005C64CD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FA026E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FA026E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FA026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A026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A026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A026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FA026E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FA026E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FA026E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FA026E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FA026E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F4ED5" w:rsidRPr="00FA026E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5C64CD" w:rsidRPr="00FA026E" w:rsidRDefault="005C64CD" w:rsidP="005C64C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A026E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5C64CD" w:rsidRPr="00FA026E" w:rsidRDefault="005C64CD" w:rsidP="005C64C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FA026E">
              <w:rPr>
                <w:rFonts w:ascii="Arial Narrow" w:hAnsi="Arial Narrow" w:cs="Tahoma"/>
                <w:sz w:val="18"/>
                <w:szCs w:val="18"/>
              </w:rPr>
              <w:t>Biljana Glušac</w:t>
            </w:r>
          </w:p>
          <w:p w:rsidR="00E31BF3" w:rsidRPr="00FA026E" w:rsidRDefault="00975971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C531C9" w:rsidRPr="00FA026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biljana.glusac@rzs.rs.ba</w:t>
              </w:r>
            </w:hyperlink>
            <w:r w:rsidR="0066022A" w:rsidRPr="00FA026E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FA026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A026E" w:rsidRDefault="005C64CD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A026E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66022A" w:rsidRPr="00FA026E" w:rsidRDefault="005C64CD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FA026E">
              <w:rPr>
                <w:rFonts w:ascii="Arial Narrow" w:hAnsi="Arial Narrow" w:cs="Tahoma"/>
                <w:sz w:val="18"/>
                <w:szCs w:val="18"/>
              </w:rPr>
              <w:t>Željka Drašković</w:t>
            </w:r>
          </w:p>
          <w:p w:rsidR="0066022A" w:rsidRPr="00FA026E" w:rsidRDefault="00975971" w:rsidP="00EA7213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="00EA7213" w:rsidRPr="00FA026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zeljka.draskovic@rzs.rs.ba</w:t>
              </w:r>
            </w:hyperlink>
          </w:p>
        </w:tc>
      </w:tr>
      <w:tr w:rsidR="006D1F0C" w:rsidRPr="00FA026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5C64CD" w:rsidRPr="00FA026E" w:rsidRDefault="005C64CD" w:rsidP="005C64C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A026E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5C64CD" w:rsidRPr="00FA026E" w:rsidRDefault="005C64CD" w:rsidP="005C64C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FA026E">
              <w:rPr>
                <w:rFonts w:ascii="Arial Narrow" w:hAnsi="Arial Narrow" w:cs="Tahoma"/>
                <w:sz w:val="18"/>
                <w:szCs w:val="18"/>
              </w:rPr>
              <w:t>Biljana Jeličić</w:t>
            </w:r>
          </w:p>
          <w:p w:rsidR="000F5C7E" w:rsidRPr="00FA026E" w:rsidRDefault="00975971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6" w:history="1">
              <w:r w:rsidR="00A62CB9" w:rsidRPr="00FA026E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biljana.jelicic@rzs.rs.ba</w:t>
              </w:r>
            </w:hyperlink>
            <w:r w:rsidR="00FA0863" w:rsidRPr="00FA026E">
              <w:rPr>
                <w:rFonts w:ascii="Arial Narrow" w:hAnsi="Arial Narrow"/>
                <w:sz w:val="18"/>
                <w:szCs w:val="18"/>
              </w:rPr>
              <w:t>;</w:t>
            </w:r>
            <w:r w:rsidR="000F58AB" w:rsidRPr="00FA026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F4ED5" w:rsidRPr="00FA026E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A026E" w:rsidRDefault="005C64CD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A026E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66022A" w:rsidRPr="00FA026E" w:rsidRDefault="005C64CD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FA026E">
              <w:rPr>
                <w:rFonts w:ascii="Arial Narrow" w:hAnsi="Arial Narrow" w:cs="Tahoma"/>
                <w:sz w:val="18"/>
                <w:szCs w:val="18"/>
              </w:rPr>
              <w:t>Sanela Borojević</w:t>
            </w:r>
          </w:p>
          <w:p w:rsidR="0066022A" w:rsidRPr="00FA026E" w:rsidRDefault="00975971" w:rsidP="009E2A9A">
            <w:pPr>
              <w:jc w:val="both"/>
              <w:rPr>
                <w:rStyle w:val="Hyperlink"/>
                <w:color w:val="auto"/>
              </w:rPr>
            </w:pPr>
            <w:hyperlink r:id="rId17" w:history="1">
              <w:r w:rsidR="00EA7213" w:rsidRPr="00FA026E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sanela.borojevic@rzs.rs.ba</w:t>
              </w:r>
            </w:hyperlink>
          </w:p>
          <w:p w:rsidR="0066022A" w:rsidRPr="00FA026E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FA026E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FA026E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FA026E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FA026E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p w:rsidR="004612FE" w:rsidRPr="00FA026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A026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A026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A026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A026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A026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A026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A026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A026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A026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A026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A026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A026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A026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A026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A026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A026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A026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A026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A026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C731C" w:rsidRPr="00FA026E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FA026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FA026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FA026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FA026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FA026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FA026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FA026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6657A3" w:rsidRPr="00FA026E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B0192" w:rsidRPr="00FA026E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FA026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A026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FA026E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FA026E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FA026E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FA026E" w:rsidRDefault="002B3E94" w:rsidP="00382EF3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2B3E94" w:rsidRPr="00FA026E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FA026E" w:rsidRDefault="003D7134" w:rsidP="00382EF3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A026E">
              <w:rPr>
                <w:rFonts w:ascii="Arial Narrow" w:hAnsi="Arial Narrow" w:cs="Tahoma"/>
                <w:sz w:val="18"/>
              </w:rPr>
              <w:t>The Release prepared by the Division for Publications, Public Relations and Statistical Data Confidentiality</w:t>
            </w:r>
          </w:p>
        </w:tc>
      </w:tr>
      <w:tr w:rsidR="002B3E94" w:rsidRPr="00FA026E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134" w:rsidRPr="00FA026E" w:rsidRDefault="003D7134" w:rsidP="003D71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A026E">
              <w:rPr>
                <w:rFonts w:ascii="Arial Narrow" w:hAnsi="Arial Narrow" w:cs="Tahoma"/>
                <w:sz w:val="18"/>
                <w:szCs w:val="18"/>
              </w:rPr>
              <w:t>Darko Milunović, Acting Director, Editor in Chief</w:t>
            </w:r>
          </w:p>
          <w:p w:rsidR="003D7134" w:rsidRPr="00FA026E" w:rsidRDefault="003D7134" w:rsidP="003D71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A026E">
              <w:rPr>
                <w:rFonts w:ascii="Arial Narrow" w:hAnsi="Arial Narrow" w:cs="Tahoma"/>
                <w:sz w:val="18"/>
                <w:szCs w:val="18"/>
              </w:rPr>
              <w:t>Vladan Sibinović, Head of the Division</w:t>
            </w:r>
          </w:p>
          <w:p w:rsidR="003D7134" w:rsidRPr="00FA026E" w:rsidRDefault="003D7134" w:rsidP="003D71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A026E">
              <w:rPr>
                <w:rFonts w:ascii="Arial Narrow" w:hAnsi="Arial Narrow" w:cs="Tahoma"/>
                <w:sz w:val="18"/>
                <w:szCs w:val="18"/>
              </w:rPr>
              <w:t>Republika Srpska, Banja Luka, Veljka Mlađenovića 12d</w:t>
            </w:r>
          </w:p>
          <w:p w:rsidR="003D7134" w:rsidRPr="00FA026E" w:rsidRDefault="003D7134" w:rsidP="003D71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A026E">
              <w:rPr>
                <w:rFonts w:ascii="Arial Narrow" w:hAnsi="Arial Narrow" w:cs="Tahoma"/>
                <w:sz w:val="18"/>
                <w:szCs w:val="18"/>
              </w:rPr>
              <w:t>Published by the Republika Srpska Institute of Statistics</w:t>
            </w:r>
          </w:p>
          <w:p w:rsidR="003D7134" w:rsidRPr="00FA026E" w:rsidRDefault="003D7134" w:rsidP="003D71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A026E">
              <w:rPr>
                <w:rFonts w:ascii="Arial Narrow" w:hAnsi="Arial Narrow" w:cs="Tahoma"/>
                <w:sz w:val="18"/>
                <w:szCs w:val="18"/>
              </w:rPr>
              <w:t>The Release is published online, at: www.rzs.rs.ba</w:t>
            </w:r>
          </w:p>
          <w:p w:rsidR="002B3E94" w:rsidRPr="00FA026E" w:rsidRDefault="003D7134" w:rsidP="003D71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A026E">
              <w:rPr>
                <w:rFonts w:ascii="Arial Narrow" w:hAnsi="Arial Narrow" w:cs="Tahoma"/>
                <w:sz w:val="18"/>
                <w:szCs w:val="18"/>
              </w:rPr>
              <w:t xml:space="preserve">Telephone: </w:t>
            </w:r>
            <w:r w:rsidR="002B3E94" w:rsidRPr="00FA026E">
              <w:rPr>
                <w:rFonts w:ascii="Arial Narrow" w:hAnsi="Arial Narrow" w:cs="Tahoma"/>
                <w:sz w:val="18"/>
                <w:szCs w:val="18"/>
              </w:rPr>
              <w:t xml:space="preserve">+387 51 332 700; E-mail: </w:t>
            </w:r>
            <w:hyperlink r:id="rId18" w:history="1">
              <w:r w:rsidR="002B3E94" w:rsidRPr="00FA026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2B3E94" w:rsidRPr="00FA026E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B3E94" w:rsidRPr="00FA026E" w:rsidRDefault="003D713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FA026E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FA026E" w:rsidRDefault="004F6953" w:rsidP="009E2A9A">
      <w:pPr>
        <w:rPr>
          <w:rFonts w:ascii="Tahoma" w:hAnsi="Tahoma" w:cs="Tahoma"/>
        </w:rPr>
      </w:pPr>
      <w:r w:rsidRPr="00FA026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FA026E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975971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7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8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9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40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1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975971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975971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2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43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4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5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6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975971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5C64CD" w:rsidRDefault="005C64CD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5C64CD" w:rsidRDefault="005C64CD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BE412C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BE412C">
            <w:rPr>
              <w:rFonts w:ascii="Arial Narrow" w:hAnsi="Arial Narrow" w:cs="Tahoma"/>
              <w:color w:val="1F497D"/>
              <w:sz w:val="16"/>
              <w:lang w:val="sr-Cyrl-BA"/>
            </w:rPr>
            <w:t>4</w:t>
          </w:r>
          <w:r w:rsidR="005C64CD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January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975971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</w:t>
          </w:r>
          <w:r w:rsidR="005C64CD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 No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BE412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12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BE412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4070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D47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395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559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0B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691"/>
    <w:rsid w:val="001E7A30"/>
    <w:rsid w:val="001E7B6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077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33F"/>
    <w:rsid w:val="00227A59"/>
    <w:rsid w:val="0023009E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0EE"/>
    <w:rsid w:val="0027420E"/>
    <w:rsid w:val="00274C2B"/>
    <w:rsid w:val="00274E48"/>
    <w:rsid w:val="00274ED4"/>
    <w:rsid w:val="00274FC3"/>
    <w:rsid w:val="0027513C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A72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3CEC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134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1C1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4F1"/>
    <w:rsid w:val="00417584"/>
    <w:rsid w:val="00417A4C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4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AF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CE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004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286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4CD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2CA"/>
    <w:rsid w:val="00660381"/>
    <w:rsid w:val="00660409"/>
    <w:rsid w:val="00660752"/>
    <w:rsid w:val="00660A00"/>
    <w:rsid w:val="00660A22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3F59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5F7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D74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1FD5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347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0FD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5971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4E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65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494"/>
    <w:rsid w:val="00B014BB"/>
    <w:rsid w:val="00B01B49"/>
    <w:rsid w:val="00B01D55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0D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44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CB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368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6BC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3CE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3F1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0DE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26E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314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5670"/>
    <w:rsid w:val="00FF6743"/>
    <w:rsid w:val="00FF67A4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0705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075BEC1D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2020</c:v>
                  </c:pt>
                  <c:pt idx="1">
                    <c:v>2021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979</c:v>
                </c:pt>
                <c:pt idx="1">
                  <c:v>962</c:v>
                </c:pt>
                <c:pt idx="2">
                  <c:v>984</c:v>
                </c:pt>
                <c:pt idx="3">
                  <c:v>978</c:v>
                </c:pt>
                <c:pt idx="4">
                  <c:v>978</c:v>
                </c:pt>
                <c:pt idx="5">
                  <c:v>981</c:v>
                </c:pt>
                <c:pt idx="6">
                  <c:v>994</c:v>
                </c:pt>
                <c:pt idx="7">
                  <c:v>1019</c:v>
                </c:pt>
                <c:pt idx="8">
                  <c:v>1025</c:v>
                </c:pt>
                <c:pt idx="9">
                  <c:v>1026</c:v>
                </c:pt>
                <c:pt idx="10">
                  <c:v>1027</c:v>
                </c:pt>
                <c:pt idx="11">
                  <c:v>1030</c:v>
                </c:pt>
                <c:pt idx="12">
                  <c:v>1038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1557632"/>
        <c:axId val="241559200"/>
      </c:lineChart>
      <c:catAx>
        <c:axId val="241557632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241559200"/>
        <c:crosses val="autoZero"/>
        <c:auto val="1"/>
        <c:lblAlgn val="ctr"/>
        <c:lblOffset val="100"/>
        <c:noMultiLvlLbl val="0"/>
      </c:catAx>
      <c:valAx>
        <c:axId val="241559200"/>
        <c:scaling>
          <c:orientation val="minMax"/>
          <c:min val="60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2415576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 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-0.1</c:v>
                </c:pt>
                <c:pt idx="1">
                  <c:v>0.5</c:v>
                </c:pt>
                <c:pt idx="2">
                  <c:v>0.4</c:v>
                </c:pt>
                <c:pt idx="3">
                  <c:v>0.7</c:v>
                </c:pt>
                <c:pt idx="4">
                  <c:v>-0.7</c:v>
                </c:pt>
                <c:pt idx="5">
                  <c:v>0.2</c:v>
                </c:pt>
                <c:pt idx="6">
                  <c:v>0</c:v>
                </c:pt>
                <c:pt idx="7">
                  <c:v>-0.1</c:v>
                </c:pt>
                <c:pt idx="8">
                  <c:v>0.2</c:v>
                </c:pt>
                <c:pt idx="9">
                  <c:v>0.6</c:v>
                </c:pt>
                <c:pt idx="10">
                  <c:v>2.2999999999999998</c:v>
                </c:pt>
                <c:pt idx="11">
                  <c:v>1.2</c:v>
                </c:pt>
                <c:pt idx="12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 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-1.9</c:v>
                </c:pt>
                <c:pt idx="1">
                  <c:v>-1.8</c:v>
                </c:pt>
                <c:pt idx="2">
                  <c:v>-1.6</c:v>
                </c:pt>
                <c:pt idx="3">
                  <c:v>-0.8</c:v>
                </c:pt>
                <c:pt idx="4">
                  <c:v>0.6</c:v>
                </c:pt>
                <c:pt idx="5">
                  <c:v>1.5</c:v>
                </c:pt>
                <c:pt idx="6">
                  <c:v>1.4</c:v>
                </c:pt>
                <c:pt idx="7">
                  <c:v>1.7</c:v>
                </c:pt>
                <c:pt idx="8">
                  <c:v>2.1</c:v>
                </c:pt>
                <c:pt idx="9">
                  <c:v>2.6</c:v>
                </c:pt>
                <c:pt idx="10">
                  <c:v>4</c:v>
                </c:pt>
                <c:pt idx="11">
                  <c:v>5.2</c:v>
                </c:pt>
                <c:pt idx="12">
                  <c:v>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 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1558416"/>
        <c:axId val="241559984"/>
      </c:lineChart>
      <c:catAx>
        <c:axId val="241558416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415599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4155998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41558416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2017</c:v>
                  </c:pt>
                  <c:pt idx="1">
                    <c:v>2018</c:v>
                  </c:pt>
                  <c:pt idx="13">
                    <c:v>2019</c:v>
                  </c:pt>
                  <c:pt idx="25">
                    <c:v>2020</c:v>
                  </c:pt>
                  <c:pt idx="37">
                    <c:v>2021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109.86190274635578</c:v>
                </c:pt>
                <c:pt idx="1">
                  <c:v>110.26992194725669</c:v>
                </c:pt>
                <c:pt idx="2">
                  <c:v>117.02203360570562</c:v>
                </c:pt>
                <c:pt idx="3">
                  <c:v>118.79988274671774</c:v>
                </c:pt>
                <c:pt idx="4">
                  <c:v>118.67676604501492</c:v>
                </c:pt>
                <c:pt idx="5">
                  <c:v>124.41636459366708</c:v>
                </c:pt>
                <c:pt idx="6">
                  <c:v>110.42522642271291</c:v>
                </c:pt>
                <c:pt idx="7">
                  <c:v>117.56315726191401</c:v>
                </c:pt>
                <c:pt idx="8">
                  <c:v>104.35897501195642</c:v>
                </c:pt>
                <c:pt idx="9">
                  <c:v>112.13364790427916</c:v>
                </c:pt>
                <c:pt idx="10">
                  <c:v>114.95060070039754</c:v>
                </c:pt>
                <c:pt idx="11">
                  <c:v>107.22566103533576</c:v>
                </c:pt>
                <c:pt idx="12">
                  <c:v>106.06140094490412</c:v>
                </c:pt>
                <c:pt idx="13">
                  <c:v>97.287022541408575</c:v>
                </c:pt>
                <c:pt idx="14">
                  <c:v>103.12612326409126</c:v>
                </c:pt>
                <c:pt idx="15">
                  <c:v>98.348719176135717</c:v>
                </c:pt>
                <c:pt idx="16">
                  <c:v>95.527242121856816</c:v>
                </c:pt>
                <c:pt idx="17">
                  <c:v>102.02109080232417</c:v>
                </c:pt>
                <c:pt idx="18">
                  <c:v>101.71251198022091</c:v>
                </c:pt>
                <c:pt idx="19">
                  <c:v>106.93481532267674</c:v>
                </c:pt>
                <c:pt idx="20">
                  <c:v>106.92518898760002</c:v>
                </c:pt>
                <c:pt idx="21">
                  <c:v>102.14835345769524</c:v>
                </c:pt>
                <c:pt idx="22">
                  <c:v>95.536752310877418</c:v>
                </c:pt>
                <c:pt idx="23">
                  <c:v>98.448421014270679</c:v>
                </c:pt>
                <c:pt idx="24">
                  <c:v>97.617842258344851</c:v>
                </c:pt>
                <c:pt idx="25">
                  <c:v>101.32575649389639</c:v>
                </c:pt>
                <c:pt idx="26">
                  <c:v>91.76277294485206</c:v>
                </c:pt>
                <c:pt idx="27">
                  <c:v>94.757132014662261</c:v>
                </c:pt>
                <c:pt idx="28">
                  <c:v>87.099912872624557</c:v>
                </c:pt>
                <c:pt idx="29">
                  <c:v>87.715832241194832</c:v>
                </c:pt>
                <c:pt idx="30">
                  <c:v>86.992628856171933</c:v>
                </c:pt>
                <c:pt idx="31">
                  <c:v>93.432985954404415</c:v>
                </c:pt>
                <c:pt idx="32">
                  <c:v>95.86976468999076</c:v>
                </c:pt>
                <c:pt idx="33">
                  <c:v>93.09018224570363</c:v>
                </c:pt>
                <c:pt idx="34">
                  <c:v>96.145999919639067</c:v>
                </c:pt>
                <c:pt idx="35">
                  <c:v>96.647632587856634</c:v>
                </c:pt>
                <c:pt idx="36">
                  <c:v>100.98879690354451</c:v>
                </c:pt>
                <c:pt idx="37">
                  <c:v>102.54208656544604</c:v>
                </c:pt>
                <c:pt idx="38">
                  <c:v>107.96074450621133</c:v>
                </c:pt>
                <c:pt idx="39">
                  <c:v>105.27041849077139</c:v>
                </c:pt>
                <c:pt idx="40">
                  <c:v>110.37947780793299</c:v>
                </c:pt>
                <c:pt idx="41">
                  <c:v>105.10871077451669</c:v>
                </c:pt>
                <c:pt idx="42">
                  <c:v>108.31642011366789</c:v>
                </c:pt>
                <c:pt idx="43">
                  <c:v>102.6896493958355</c:v>
                </c:pt>
                <c:pt idx="44">
                  <c:v>103.1622981118408</c:v>
                </c:pt>
                <c:pt idx="45">
                  <c:v>100.98906117445466</c:v>
                </c:pt>
                <c:pt idx="46">
                  <c:v>101.03051443897014</c:v>
                </c:pt>
                <c:pt idx="47">
                  <c:v>107.08993057791227</c:v>
                </c:pt>
                <c:pt idx="48">
                  <c:v>107.9167417179393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B1-41B1-81A5-3AFD735701E3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2017</c:v>
                  </c:pt>
                  <c:pt idx="1">
                    <c:v>2018</c:v>
                  </c:pt>
                  <c:pt idx="13">
                    <c:v>2019</c:v>
                  </c:pt>
                  <c:pt idx="25">
                    <c:v>2020</c:v>
                  </c:pt>
                  <c:pt idx="37">
                    <c:v>2021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111.07175443169305</c:v>
                </c:pt>
                <c:pt idx="1">
                  <c:v>112.53281341073658</c:v>
                </c:pt>
                <c:pt idx="2">
                  <c:v>115.41345824178198</c:v>
                </c:pt>
                <c:pt idx="3">
                  <c:v>118.0725524847437</c:v>
                </c:pt>
                <c:pt idx="4">
                  <c:v>119.41990326481185</c:v>
                </c:pt>
                <c:pt idx="5">
                  <c:v>118.56789212139702</c:v>
                </c:pt>
                <c:pt idx="6">
                  <c:v>115.63706542088225</c:v>
                </c:pt>
                <c:pt idx="7">
                  <c:v>112.50467491672465</c:v>
                </c:pt>
                <c:pt idx="8">
                  <c:v>110.55457544090905</c:v>
                </c:pt>
                <c:pt idx="9">
                  <c:v>110.86765315148644</c:v>
                </c:pt>
                <c:pt idx="10">
                  <c:v>111.02200977409444</c:v>
                </c:pt>
                <c:pt idx="11">
                  <c:v>108.42163192163599</c:v>
                </c:pt>
                <c:pt idx="12">
                  <c:v>104.51389673243871</c:v>
                </c:pt>
                <c:pt idx="13">
                  <c:v>101.59714026066095</c:v>
                </c:pt>
                <c:pt idx="14">
                  <c:v>100.21772603786464</c:v>
                </c:pt>
                <c:pt idx="15">
                  <c:v>99.033151597613212</c:v>
                </c:pt>
                <c:pt idx="16">
                  <c:v>98.754488562464871</c:v>
                </c:pt>
                <c:pt idx="17">
                  <c:v>100.43694043909251</c:v>
                </c:pt>
                <c:pt idx="18">
                  <c:v>103.00435942859779</c:v>
                </c:pt>
                <c:pt idx="19">
                  <c:v>104.97389128248203</c:v>
                </c:pt>
                <c:pt idx="20">
                  <c:v>104.63750690066387</c:v>
                </c:pt>
                <c:pt idx="21">
                  <c:v>101.70064757739077</c:v>
                </c:pt>
                <c:pt idx="22">
                  <c:v>98.801005187027641</c:v>
                </c:pt>
                <c:pt idx="23">
                  <c:v>97.984487049723242</c:v>
                </c:pt>
                <c:pt idx="24">
                  <c:v>98.253314565456179</c:v>
                </c:pt>
                <c:pt idx="25">
                  <c:v>97.376713078413943</c:v>
                </c:pt>
                <c:pt idx="26">
                  <c:v>94.910274215571661</c:v>
                </c:pt>
                <c:pt idx="27">
                  <c:v>92.069255383070697</c:v>
                </c:pt>
                <c:pt idx="28">
                  <c:v>89.490972201448955</c:v>
                </c:pt>
                <c:pt idx="29">
                  <c:v>88.280650383257438</c:v>
                </c:pt>
                <c:pt idx="30">
                  <c:v>89.391222456100323</c:v>
                </c:pt>
                <c:pt idx="31">
                  <c:v>92.041459955517325</c:v>
                </c:pt>
                <c:pt idx="32">
                  <c:v>94.047377470063111</c:v>
                </c:pt>
                <c:pt idx="33">
                  <c:v>94.833808977718263</c:v>
                </c:pt>
                <c:pt idx="34">
                  <c:v>95.859740929657335</c:v>
                </c:pt>
                <c:pt idx="35">
                  <c:v>97.790729313586837</c:v>
                </c:pt>
                <c:pt idx="36">
                  <c:v>100.42932521644656</c:v>
                </c:pt>
                <c:pt idx="37">
                  <c:v>103.29301316932271</c:v>
                </c:pt>
                <c:pt idx="38">
                  <c:v>105.63501213339858</c:v>
                </c:pt>
                <c:pt idx="39">
                  <c:v>107.01675765453535</c:v>
                </c:pt>
                <c:pt idx="40">
                  <c:v>107.50248007206598</c:v>
                </c:pt>
                <c:pt idx="41">
                  <c:v>107.06504198587098</c:v>
                </c:pt>
                <c:pt idx="42">
                  <c:v>105.92207288433629</c:v>
                </c:pt>
                <c:pt idx="43">
                  <c:v>104.2700380730747</c:v>
                </c:pt>
                <c:pt idx="44">
                  <c:v>102.74534990334435</c:v>
                </c:pt>
                <c:pt idx="45">
                  <c:v>102.11225382526604</c:v>
                </c:pt>
                <c:pt idx="46">
                  <c:v>103.11833951286566</c:v>
                </c:pt>
                <c:pt idx="47">
                  <c:v>105.42378700384926</c:v>
                </c:pt>
                <c:pt idx="48">
                  <c:v>107.15877288396675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B1-41B1-81A5-3AFD735701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5493568"/>
        <c:axId val="425495136"/>
      </c:lineChart>
      <c:catAx>
        <c:axId val="42549356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425495136"/>
        <c:crosses val="autoZero"/>
        <c:auto val="1"/>
        <c:lblAlgn val="ctr"/>
        <c:lblOffset val="100"/>
        <c:noMultiLvlLbl val="0"/>
      </c:catAx>
      <c:valAx>
        <c:axId val="425495136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42549356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'[Chart in Microsoft Word]Септ2021'!$A$2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'[Chart in Microsoft Word]Септ2021'!$B$1:$N$1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'[Chart in Microsoft Word]Септ2021'!$B$2:$N$2</c:f>
              <c:numCache>
                <c:formatCode>0</c:formatCode>
                <c:ptCount val="13"/>
                <c:pt idx="0">
                  <c:v>411697</c:v>
                </c:pt>
                <c:pt idx="1">
                  <c:v>280973.00199000002</c:v>
                </c:pt>
                <c:pt idx="2">
                  <c:v>386845.87732000003</c:v>
                </c:pt>
                <c:pt idx="3">
                  <c:v>470668.81706999999</c:v>
                </c:pt>
                <c:pt idx="4">
                  <c:v>456354.56737</c:v>
                </c:pt>
                <c:pt idx="5">
                  <c:v>452639.37461</c:v>
                </c:pt>
                <c:pt idx="6">
                  <c:v>484230.49057999998</c:v>
                </c:pt>
                <c:pt idx="7">
                  <c:v>499695.09068000002</c:v>
                </c:pt>
                <c:pt idx="8">
                  <c:v>426113.09868</c:v>
                </c:pt>
                <c:pt idx="9">
                  <c:v>528067.34210999997</c:v>
                </c:pt>
                <c:pt idx="10">
                  <c:v>528061.71109</c:v>
                </c:pt>
                <c:pt idx="11">
                  <c:v>543192.81070999999</c:v>
                </c:pt>
                <c:pt idx="12">
                  <c:v>523742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A9-4A08-A0EC-E5F1DB464C13}"/>
            </c:ext>
          </c:extLst>
        </c:ser>
        <c:ser>
          <c:idx val="1"/>
          <c:order val="1"/>
          <c:tx>
            <c:strRef>
              <c:f>'[Chart in Microsoft Word]Септ2021'!$A$3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'[Chart in Microsoft Word]Септ2021'!$B$1:$N$1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'[Chart in Microsoft Word]Септ2021'!$B$3:$N$3</c:f>
              <c:numCache>
                <c:formatCode>0</c:formatCode>
                <c:ptCount val="13"/>
                <c:pt idx="0">
                  <c:v>306580</c:v>
                </c:pt>
                <c:pt idx="1">
                  <c:v>261083.10394</c:v>
                </c:pt>
                <c:pt idx="2">
                  <c:v>318453.56183999998</c:v>
                </c:pt>
                <c:pt idx="3">
                  <c:v>373306.11855999997</c:v>
                </c:pt>
                <c:pt idx="4">
                  <c:v>352479.18946999998</c:v>
                </c:pt>
                <c:pt idx="5">
                  <c:v>334224.28399999999</c:v>
                </c:pt>
                <c:pt idx="6">
                  <c:v>391885.74534000002</c:v>
                </c:pt>
                <c:pt idx="7">
                  <c:v>394359.83474999998</c:v>
                </c:pt>
                <c:pt idx="8">
                  <c:v>326402.95267000003</c:v>
                </c:pt>
                <c:pt idx="9">
                  <c:v>424951.65315999999</c:v>
                </c:pt>
                <c:pt idx="10">
                  <c:v>401265.28411000001</c:v>
                </c:pt>
                <c:pt idx="11">
                  <c:v>448582.18595999997</c:v>
                </c:pt>
                <c:pt idx="12">
                  <c:v>399988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A9-4A08-A0EC-E5F1DB464C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903344"/>
        <c:axId val="239735248"/>
      </c:lineChart>
      <c:catAx>
        <c:axId val="239903344"/>
        <c:scaling>
          <c:orientation val="minMax"/>
        </c:scaling>
        <c:delete val="0"/>
        <c:axPos val="b"/>
        <c:minorGridlines>
          <c:spPr>
            <a:ln w="317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39735248"/>
        <c:crosses val="autoZero"/>
        <c:auto val="1"/>
        <c:lblAlgn val="ctr"/>
        <c:lblOffset val="100"/>
        <c:noMultiLvlLbl val="0"/>
      </c:catAx>
      <c:valAx>
        <c:axId val="23973524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3990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6BA0-E5C0-4112-AD48-E4E82492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5</Pages>
  <Words>1321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9138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828</cp:revision>
  <cp:lastPrinted>2020-06-17T08:46:00Z</cp:lastPrinted>
  <dcterms:created xsi:type="dcterms:W3CDTF">2018-06-21T10:44:00Z</dcterms:created>
  <dcterms:modified xsi:type="dcterms:W3CDTF">2022-01-24T08:29:00Z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