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276DD8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276DD8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276DD8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276DD8">
              <w:rPr>
                <w:rFonts w:ascii="Tahoma" w:hAnsi="Tahoma" w:cs="Tahoma"/>
              </w:rPr>
              <w:br w:type="column"/>
            </w:r>
            <w:r w:rsidRPr="00276DD8">
              <w:rPr>
                <w:rFonts w:ascii="Tahoma" w:hAnsi="Tahoma" w:cs="Tahoma"/>
              </w:rPr>
              <w:br w:type="column"/>
            </w:r>
            <w:r w:rsidRPr="00276DD8">
              <w:rPr>
                <w:rFonts w:ascii="Tahoma" w:hAnsi="Tahoma" w:cs="Tahoma"/>
              </w:rPr>
              <w:br w:type="page"/>
            </w:r>
            <w:r w:rsidRPr="00276DD8">
              <w:rPr>
                <w:rFonts w:ascii="Tahoma" w:hAnsi="Tahoma" w:cs="Tahoma"/>
              </w:rPr>
              <w:br w:type="page"/>
            </w:r>
            <w:r w:rsidR="004F6953" w:rsidRPr="00276DD8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276DD8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276DD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276DD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276DD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276DD8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276DD8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276DD8" w:rsidRDefault="004551B9" w:rsidP="00B00DCB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276DD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276DD8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276DD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276DD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276DD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D46C66" w:rsidRPr="00276DD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B00DCB" w:rsidRPr="00276DD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October </w:t>
            </w:r>
            <w:r w:rsidR="00431915" w:rsidRPr="00276DD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201</w:t>
            </w:r>
            <w:r w:rsidR="00CC2A23" w:rsidRPr="00276DD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8</w:t>
            </w:r>
            <w:r w:rsidR="00B00DCB" w:rsidRPr="00276DD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, No. </w:t>
            </w:r>
            <w:r w:rsidR="00400878" w:rsidRPr="00276DD8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</w:rPr>
              <w:t>304</w:t>
            </w:r>
            <w:r w:rsidR="00431915" w:rsidRPr="00276DD8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/1</w:t>
            </w:r>
            <w:r w:rsidR="00CC2A23" w:rsidRPr="00276DD8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8</w:t>
            </w:r>
            <w:r w:rsidR="00F6075A" w:rsidRPr="00276DD8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276DD8" w:rsidTr="005074F6">
        <w:trPr>
          <w:cantSplit/>
        </w:trPr>
        <w:tc>
          <w:tcPr>
            <w:tcW w:w="5251" w:type="dxa"/>
            <w:vAlign w:val="center"/>
          </w:tcPr>
          <w:p w:rsidR="005D5311" w:rsidRPr="00276DD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276DD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276DD8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276DD8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276DD8" w:rsidRDefault="00B00DCB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276DD8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276DD8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276DD8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276DD8" w:rsidRDefault="00B00DCB" w:rsidP="00EB674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276DD8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October 2018</w:t>
            </w:r>
          </w:p>
        </w:tc>
      </w:tr>
    </w:tbl>
    <w:p w:rsidR="000F689B" w:rsidRPr="00276DD8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276DD8" w:rsidRDefault="00515944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276DD8">
        <w:rPr>
          <w:rFonts w:ascii="Arial Narrow" w:hAnsi="Arial Narrow" w:cs="Tahoma"/>
          <w:b/>
          <w:bCs/>
          <w:sz w:val="30"/>
          <w:szCs w:val="30"/>
          <w:lang w:eastAsia="sr-Latn-BA"/>
        </w:rPr>
        <w:t>Average after-tax wage in September</w:t>
      </w:r>
      <w:r w:rsidR="00E33D13" w:rsidRPr="00276DD8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8</w:t>
      </w:r>
      <w:r w:rsidR="00667CDB" w:rsidRPr="00276DD8">
        <w:rPr>
          <w:rFonts w:ascii="Arial Narrow" w:hAnsi="Arial Narrow" w:cs="Tahoma"/>
          <w:b/>
          <w:bCs/>
          <w:sz w:val="30"/>
          <w:szCs w:val="30"/>
          <w:lang w:eastAsia="sr-Latn-BA"/>
        </w:rPr>
        <w:t>81</w:t>
      </w:r>
      <w:r w:rsidR="00E33D13" w:rsidRPr="00276DD8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276DD8" w:rsidRDefault="00515944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 w:rsidRPr="00276DD8">
        <w:rPr>
          <w:rFonts w:ascii="Arial Narrow" w:hAnsi="Arial Narrow" w:cs="Tahoma"/>
          <w:b/>
          <w:sz w:val="28"/>
          <w:szCs w:val="28"/>
        </w:rPr>
        <w:t xml:space="preserve">The highest average </w:t>
      </w:r>
      <w:r w:rsidRPr="00276DD8">
        <w:rPr>
          <w:rFonts w:ascii="Arial Narrow" w:hAnsi="Arial Narrow" w:cs="Tahoma"/>
          <w:b/>
          <w:sz w:val="28"/>
          <w:szCs w:val="28"/>
        </w:rPr>
        <w:t>after-tax</w:t>
      </w:r>
      <w:r w:rsidRPr="00276DD8">
        <w:rPr>
          <w:rFonts w:ascii="Arial Narrow" w:hAnsi="Arial Narrow" w:cs="Tahoma"/>
          <w:b/>
          <w:sz w:val="28"/>
          <w:szCs w:val="28"/>
        </w:rPr>
        <w:t xml:space="preserve"> wage was that in the section </w:t>
      </w:r>
      <w:r w:rsidRPr="00276DD8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276DD8">
        <w:rPr>
          <w:rFonts w:ascii="Arial Narrow" w:hAnsi="Arial Narrow" w:cs="Tahoma"/>
          <w:b/>
          <w:sz w:val="28"/>
          <w:szCs w:val="28"/>
        </w:rPr>
        <w:t xml:space="preserve"> 1,</w:t>
      </w:r>
      <w:r w:rsidR="00202153" w:rsidRPr="00276DD8">
        <w:rPr>
          <w:rFonts w:ascii="Arial Narrow" w:hAnsi="Arial Narrow" w:cs="Tahoma"/>
          <w:b/>
          <w:sz w:val="28"/>
          <w:szCs w:val="28"/>
        </w:rPr>
        <w:t>4</w:t>
      </w:r>
      <w:r w:rsidR="00667CDB" w:rsidRPr="00276DD8">
        <w:rPr>
          <w:rFonts w:ascii="Arial Narrow" w:hAnsi="Arial Narrow" w:cs="Tahoma"/>
          <w:b/>
          <w:sz w:val="28"/>
          <w:szCs w:val="28"/>
        </w:rPr>
        <w:t>21</w:t>
      </w:r>
      <w:r w:rsidR="00E33D13" w:rsidRPr="00276DD8">
        <w:rPr>
          <w:rFonts w:ascii="Arial Narrow" w:hAnsi="Arial Narrow" w:cs="Tahoma"/>
          <w:b/>
          <w:sz w:val="28"/>
          <w:szCs w:val="28"/>
        </w:rPr>
        <w:t xml:space="preserve"> КМ, </w:t>
      </w:r>
      <w:r w:rsidRPr="00276DD8">
        <w:rPr>
          <w:rFonts w:ascii="Arial Narrow" w:hAnsi="Arial Narrow" w:cs="Tahoma"/>
          <w:b/>
          <w:sz w:val="28"/>
          <w:szCs w:val="28"/>
        </w:rPr>
        <w:t>while the lowest one was that in the section</w:t>
      </w:r>
      <w:r w:rsidR="00E33D13" w:rsidRPr="00276DD8">
        <w:rPr>
          <w:rFonts w:ascii="Arial Narrow" w:hAnsi="Arial Narrow" w:cs="Tahoma"/>
          <w:b/>
          <w:sz w:val="28"/>
          <w:szCs w:val="28"/>
        </w:rPr>
        <w:t xml:space="preserve"> </w:t>
      </w:r>
      <w:r w:rsidRPr="00276DD8">
        <w:rPr>
          <w:rFonts w:ascii="Arial Narrow" w:hAnsi="Arial Narrow" w:cs="Tahoma"/>
          <w:b/>
          <w:i/>
          <w:sz w:val="28"/>
          <w:szCs w:val="28"/>
        </w:rPr>
        <w:t>Administrative and support service activities</w:t>
      </w:r>
      <w:r w:rsidR="00667CDB" w:rsidRPr="00276DD8">
        <w:rPr>
          <w:rFonts w:ascii="Arial Narrow" w:hAnsi="Arial Narrow" w:cs="Tahoma"/>
          <w:sz w:val="22"/>
          <w:szCs w:val="22"/>
        </w:rPr>
        <w:t xml:space="preserve"> </w:t>
      </w:r>
      <w:r w:rsidR="00E33D13" w:rsidRPr="00276DD8">
        <w:rPr>
          <w:rFonts w:ascii="Arial Narrow" w:hAnsi="Arial Narrow" w:cs="Tahoma"/>
          <w:b/>
          <w:sz w:val="28"/>
          <w:szCs w:val="28"/>
        </w:rPr>
        <w:t>5</w:t>
      </w:r>
      <w:r w:rsidR="00202153" w:rsidRPr="00276DD8">
        <w:rPr>
          <w:rFonts w:ascii="Arial Narrow" w:hAnsi="Arial Narrow" w:cs="Tahoma"/>
          <w:b/>
          <w:sz w:val="28"/>
          <w:szCs w:val="28"/>
        </w:rPr>
        <w:t>8</w:t>
      </w:r>
      <w:r w:rsidR="00667CDB" w:rsidRPr="00276DD8">
        <w:rPr>
          <w:rFonts w:ascii="Arial Narrow" w:hAnsi="Arial Narrow" w:cs="Tahoma"/>
          <w:b/>
          <w:sz w:val="28"/>
          <w:szCs w:val="28"/>
        </w:rPr>
        <w:t>9</w:t>
      </w:r>
      <w:r w:rsidR="00E33D13" w:rsidRPr="00276DD8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276DD8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276DD8">
        <w:rPr>
          <w:rFonts w:ascii="Tahoma" w:hAnsi="Tahoma" w:cs="Tahoma"/>
          <w:b/>
        </w:rPr>
        <w:tab/>
      </w:r>
      <w:r w:rsidRPr="00276DD8">
        <w:rPr>
          <w:rFonts w:ascii="Tahoma" w:hAnsi="Tahoma" w:cs="Tahoma"/>
          <w:b/>
        </w:rPr>
        <w:tab/>
      </w:r>
    </w:p>
    <w:p w:rsidR="00923A65" w:rsidRPr="00276DD8" w:rsidRDefault="00923A6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276DD8">
        <w:rPr>
          <w:rFonts w:ascii="Arial Narrow" w:hAnsi="Arial Narrow" w:cs="Tahoma"/>
          <w:sz w:val="22"/>
        </w:rPr>
        <w:t xml:space="preserve">Average monthly after-tax wage in Republika Srpska paid in September 2018 was 881 KM, while average monthly gross wage was 1,368 KM. </w:t>
      </w:r>
    </w:p>
    <w:p w:rsidR="005570BB" w:rsidRPr="00276DD8" w:rsidRDefault="005570B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5570BB" w:rsidRPr="00276DD8" w:rsidRDefault="005570B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276DD8">
        <w:rPr>
          <w:rFonts w:ascii="Arial Narrow" w:hAnsi="Arial Narrow" w:cs="Tahoma"/>
          <w:sz w:val="22"/>
        </w:rPr>
        <w:t>Average after-tax wage paid in September 2018, compared to August 2018, was really 3.1% higher. Compared to September 2017, it was really 4.5% higher.</w:t>
      </w:r>
    </w:p>
    <w:p w:rsidR="005570BB" w:rsidRPr="00276DD8" w:rsidRDefault="005570B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863C30" w:rsidRPr="00276DD8" w:rsidRDefault="005570B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276DD8">
        <w:rPr>
          <w:rFonts w:ascii="Arial Narrow" w:hAnsi="Arial Narrow" w:cs="Tahoma"/>
          <w:sz w:val="22"/>
        </w:rPr>
        <w:t xml:space="preserve">In September 2018, the highest average after-tax wage, by section of economic activities, was paid in the </w:t>
      </w:r>
      <w:r w:rsidRPr="00276DD8">
        <w:rPr>
          <w:rFonts w:ascii="Arial Narrow" w:hAnsi="Arial Narrow" w:cs="Tahoma"/>
          <w:sz w:val="22"/>
        </w:rPr>
        <w:t xml:space="preserve">section </w:t>
      </w:r>
      <w:r w:rsidRPr="00276DD8">
        <w:rPr>
          <w:rFonts w:ascii="Arial Narrow" w:hAnsi="Arial Narrow" w:cs="Tahoma"/>
          <w:i/>
          <w:sz w:val="22"/>
        </w:rPr>
        <w:t>Financial and insurance activities</w:t>
      </w:r>
      <w:r w:rsidRPr="00276DD8">
        <w:rPr>
          <w:rFonts w:ascii="Arial Narrow" w:hAnsi="Arial Narrow" w:cs="Tahoma"/>
          <w:sz w:val="22"/>
        </w:rPr>
        <w:t>, and it amounted to</w:t>
      </w:r>
      <w:r w:rsidRPr="00276DD8">
        <w:rPr>
          <w:rFonts w:ascii="Arial Narrow" w:hAnsi="Arial Narrow" w:cs="Tahoma"/>
          <w:sz w:val="22"/>
        </w:rPr>
        <w:t xml:space="preserve"> 1,421 KM. On the other hand, </w:t>
      </w:r>
      <w:r w:rsidR="00221A5A" w:rsidRPr="00276DD8">
        <w:rPr>
          <w:rFonts w:ascii="Arial Narrow" w:hAnsi="Arial Narrow" w:cs="Tahoma"/>
          <w:sz w:val="22"/>
        </w:rPr>
        <w:t xml:space="preserve">the lowest average after-tax wage in September 2018 was the one paid in the section </w:t>
      </w:r>
      <w:r w:rsidR="00221A5A" w:rsidRPr="00276DD8">
        <w:rPr>
          <w:rFonts w:ascii="Arial Narrow" w:hAnsi="Arial Narrow" w:cs="Tahoma"/>
          <w:i/>
          <w:sz w:val="22"/>
        </w:rPr>
        <w:t>Administrative and support service activities</w:t>
      </w:r>
      <w:r w:rsidR="00221A5A" w:rsidRPr="00276DD8">
        <w:rPr>
          <w:rFonts w:ascii="Arial Narrow" w:hAnsi="Arial Narrow" w:cs="Tahoma"/>
          <w:sz w:val="22"/>
        </w:rPr>
        <w:t xml:space="preserve"> 589 KM.</w:t>
      </w:r>
    </w:p>
    <w:p w:rsidR="00221A5A" w:rsidRPr="00276DD8" w:rsidRDefault="00221A5A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221A5A" w:rsidRPr="00276DD8" w:rsidRDefault="00221A5A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276DD8">
        <w:rPr>
          <w:rFonts w:ascii="Arial Narrow" w:hAnsi="Arial Narrow" w:cs="Tahoma"/>
          <w:sz w:val="22"/>
        </w:rPr>
        <w:t xml:space="preserve">In September 2018, compared to August 2018, the highest nominal increase in after-tax wages was recorded in the section </w:t>
      </w:r>
      <w:r w:rsidRPr="00276DD8">
        <w:rPr>
          <w:rFonts w:ascii="Arial Narrow" w:hAnsi="Arial Narrow" w:cs="Tahoma"/>
          <w:i/>
          <w:sz w:val="22"/>
        </w:rPr>
        <w:t>Accommodation and food service activities</w:t>
      </w:r>
      <w:r w:rsidRPr="00276DD8">
        <w:rPr>
          <w:rFonts w:ascii="Arial Narrow" w:hAnsi="Arial Narrow" w:cs="Tahoma"/>
          <w:sz w:val="22"/>
        </w:rPr>
        <w:t xml:space="preserve"> 8.0%, followed by the sections </w:t>
      </w:r>
      <w:r w:rsidR="00276DD8" w:rsidRPr="00276DD8">
        <w:rPr>
          <w:rFonts w:ascii="Arial Narrow" w:hAnsi="Arial Narrow" w:cs="Tahoma"/>
          <w:i/>
          <w:sz w:val="22"/>
        </w:rPr>
        <w:t>Construction</w:t>
      </w:r>
      <w:r w:rsidRPr="00276DD8">
        <w:rPr>
          <w:rFonts w:ascii="Arial Narrow" w:hAnsi="Arial Narrow" w:cs="Tahoma"/>
          <w:sz w:val="22"/>
        </w:rPr>
        <w:t xml:space="preserve"> 7.6% and </w:t>
      </w:r>
      <w:r w:rsidRPr="00276DD8">
        <w:rPr>
          <w:rFonts w:ascii="Arial Narrow" w:hAnsi="Arial Narrow" w:cs="Tahoma"/>
          <w:i/>
          <w:sz w:val="22"/>
        </w:rPr>
        <w:t>Real estate activities</w:t>
      </w:r>
      <w:r w:rsidRPr="00276DD8">
        <w:rPr>
          <w:rFonts w:ascii="Arial Narrow" w:hAnsi="Arial Narrow" w:cs="Tahoma"/>
          <w:sz w:val="22"/>
        </w:rPr>
        <w:t xml:space="preserve"> 7.1%. </w:t>
      </w:r>
    </w:p>
    <w:p w:rsidR="00E33D13" w:rsidRPr="00276DD8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FF3EA0" w:rsidRPr="00276DD8" w:rsidRDefault="00221A5A" w:rsidP="00E33D13">
      <w:pPr>
        <w:jc w:val="both"/>
        <w:rPr>
          <w:rFonts w:ascii="Arial Narrow" w:hAnsi="Arial Narrow" w:cs="Tahoma"/>
          <w:sz w:val="22"/>
        </w:rPr>
      </w:pPr>
      <w:r w:rsidRPr="00276DD8">
        <w:rPr>
          <w:rFonts w:ascii="Arial Narrow" w:hAnsi="Arial Narrow" w:cs="Tahoma"/>
          <w:sz w:val="22"/>
        </w:rPr>
        <w:t>A decrease by 1.6% in nominal wages was recorded in the section Financial and insurance activities.</w:t>
      </w:r>
    </w:p>
    <w:p w:rsidR="00E33D13" w:rsidRPr="00276DD8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</w:p>
    <w:p w:rsidR="00396802" w:rsidRPr="00276DD8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276DD8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276DD8">
        <w:rPr>
          <w:rFonts w:ascii="Tahoma" w:hAnsi="Tahoma" w:cs="Tahoma"/>
          <w:i/>
          <w:sz w:val="14"/>
        </w:rPr>
        <w:t xml:space="preserve"> </w:t>
      </w:r>
      <w:r w:rsidRPr="00276DD8">
        <w:rPr>
          <w:rFonts w:ascii="Tahoma" w:hAnsi="Tahoma" w:cs="Tahoma"/>
          <w:sz w:val="14"/>
        </w:rPr>
        <w:t xml:space="preserve">   </w:t>
      </w:r>
      <w:r w:rsidRPr="00276DD8">
        <w:rPr>
          <w:rFonts w:ascii="Tahoma" w:hAnsi="Tahoma" w:cs="Tahoma"/>
          <w:sz w:val="14"/>
        </w:rPr>
        <w:tab/>
      </w:r>
      <w:r w:rsidRPr="00276DD8">
        <w:rPr>
          <w:rFonts w:ascii="Tahoma" w:hAnsi="Tahoma" w:cs="Tahoma"/>
          <w:sz w:val="14"/>
        </w:rPr>
        <w:tab/>
        <w:t xml:space="preserve">            </w:t>
      </w:r>
      <w:r w:rsidR="00F85AAC" w:rsidRPr="00276DD8">
        <w:rPr>
          <w:rFonts w:ascii="Tahoma" w:hAnsi="Tahoma" w:cs="Tahoma"/>
          <w:sz w:val="14"/>
        </w:rPr>
        <w:t xml:space="preserve">   </w:t>
      </w:r>
      <w:r w:rsidRPr="00276DD8">
        <w:rPr>
          <w:rFonts w:ascii="Arial Narrow" w:hAnsi="Arial Narrow" w:cs="Tahoma"/>
          <w:sz w:val="22"/>
          <w:szCs w:val="22"/>
        </w:rPr>
        <w:t>км</w:t>
      </w:r>
    </w:p>
    <w:p w:rsidR="00E33D13" w:rsidRPr="00276DD8" w:rsidRDefault="00425891" w:rsidP="00E33D13">
      <w:pPr>
        <w:jc w:val="center"/>
        <w:rPr>
          <w:rFonts w:ascii="Tahoma" w:hAnsi="Tahoma" w:cs="Tahoma"/>
        </w:rPr>
      </w:pPr>
      <w:r w:rsidRPr="00276DD8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2049808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276DD8">
        <w:rPr>
          <w:noProof/>
        </w:rPr>
        <w:t xml:space="preserve"> </w:t>
      </w:r>
      <w:r w:rsidR="00E33D13" w:rsidRPr="00276DD8">
        <w:rPr>
          <w:rFonts w:ascii="Tahoma" w:hAnsi="Tahoma" w:cs="Tahoma"/>
          <w:szCs w:val="18"/>
        </w:rPr>
        <w:t xml:space="preserve"> </w:t>
      </w:r>
      <w:r w:rsidR="00667CDB" w:rsidRPr="00276DD8">
        <w:rPr>
          <w:noProof/>
        </w:rPr>
        <w:drawing>
          <wp:inline distT="0" distB="0" distL="0" distR="0" wp14:anchorId="2CA9D69A" wp14:editId="67955408">
            <wp:extent cx="4572000" cy="27432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276DD8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276DD8" w:rsidRDefault="002302FE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276DD8">
        <w:rPr>
          <w:rFonts w:ascii="Arial Narrow" w:hAnsi="Arial Narrow" w:cs="Tahoma"/>
          <w:sz w:val="16"/>
          <w:szCs w:val="22"/>
        </w:rPr>
        <w:t>Graph</w:t>
      </w:r>
      <w:r w:rsidR="00E33D13" w:rsidRPr="00276DD8">
        <w:rPr>
          <w:rFonts w:ascii="Arial Narrow" w:hAnsi="Arial Narrow" w:cs="Tahoma"/>
          <w:sz w:val="16"/>
          <w:szCs w:val="22"/>
        </w:rPr>
        <w:t xml:space="preserve"> </w:t>
      </w:r>
      <w:r w:rsidR="0066022A" w:rsidRPr="00276DD8">
        <w:rPr>
          <w:rFonts w:ascii="Arial Narrow" w:hAnsi="Arial Narrow" w:cs="Tahoma"/>
          <w:sz w:val="16"/>
          <w:szCs w:val="22"/>
        </w:rPr>
        <w:t>1</w:t>
      </w:r>
      <w:r w:rsidR="00E33D13" w:rsidRPr="00276DD8">
        <w:rPr>
          <w:rFonts w:ascii="Arial Narrow" w:hAnsi="Arial Narrow" w:cs="Tahoma"/>
          <w:sz w:val="16"/>
          <w:szCs w:val="22"/>
        </w:rPr>
        <w:t xml:space="preserve">. </w:t>
      </w:r>
      <w:r w:rsidRPr="00276DD8">
        <w:rPr>
          <w:rFonts w:ascii="Arial Narrow" w:hAnsi="Arial Narrow" w:cs="Tahoma"/>
          <w:sz w:val="16"/>
          <w:szCs w:val="22"/>
        </w:rPr>
        <w:t>Average after-tax wages</w:t>
      </w:r>
      <w:r w:rsidR="00003F91" w:rsidRPr="00276DD8">
        <w:rPr>
          <w:rFonts w:ascii="Arial Narrow" w:hAnsi="Arial Narrow" w:cs="Tahoma"/>
          <w:sz w:val="16"/>
          <w:szCs w:val="22"/>
        </w:rPr>
        <w:t xml:space="preserve"> (</w:t>
      </w:r>
      <w:r w:rsidRPr="00276DD8">
        <w:rPr>
          <w:rFonts w:ascii="Arial Narrow" w:hAnsi="Arial Narrow" w:cs="Tahoma"/>
          <w:sz w:val="16"/>
          <w:szCs w:val="22"/>
        </w:rPr>
        <w:t>net</w:t>
      </w:r>
      <w:r w:rsidR="00003F91" w:rsidRPr="00276DD8">
        <w:rPr>
          <w:rFonts w:ascii="Arial Narrow" w:hAnsi="Arial Narrow" w:cs="Tahoma"/>
          <w:sz w:val="16"/>
          <w:szCs w:val="22"/>
        </w:rPr>
        <w:t>)</w:t>
      </w:r>
      <w:r w:rsidR="00FF1FA4" w:rsidRPr="00276DD8">
        <w:rPr>
          <w:rFonts w:ascii="Arial Narrow" w:hAnsi="Arial Narrow" w:cs="Tahoma"/>
          <w:sz w:val="16"/>
          <w:szCs w:val="22"/>
        </w:rPr>
        <w:t>,</w:t>
      </w:r>
      <w:r w:rsidR="00E33D13" w:rsidRPr="00276DD8">
        <w:rPr>
          <w:rFonts w:ascii="Arial Narrow" w:hAnsi="Arial Narrow" w:cs="Tahoma"/>
          <w:sz w:val="16"/>
          <w:szCs w:val="22"/>
        </w:rPr>
        <w:t xml:space="preserve"> </w:t>
      </w:r>
      <w:r w:rsidR="006D014A" w:rsidRPr="00276DD8">
        <w:rPr>
          <w:rFonts w:ascii="Arial Narrow" w:hAnsi="Arial Narrow" w:cs="Tahoma"/>
          <w:sz w:val="16"/>
          <w:szCs w:val="22"/>
        </w:rPr>
        <w:t>by month</w:t>
      </w:r>
    </w:p>
    <w:p w:rsidR="00620BD6" w:rsidRPr="00276DD8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305A93" w:rsidRPr="00276DD8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276DD8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276DD8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221A5A" w:rsidRPr="00276DD8" w:rsidRDefault="00221A5A" w:rsidP="00901910">
      <w:pPr>
        <w:rPr>
          <w:rFonts w:ascii="Arial Narrow" w:hAnsi="Arial Narrow" w:cs="Tahoma"/>
          <w:b/>
          <w:sz w:val="24"/>
          <w:szCs w:val="24"/>
        </w:rPr>
      </w:pPr>
    </w:p>
    <w:p w:rsidR="00221A5A" w:rsidRPr="00276DD8" w:rsidRDefault="00221A5A" w:rsidP="00901910">
      <w:pPr>
        <w:rPr>
          <w:rFonts w:ascii="Arial Narrow" w:hAnsi="Arial Narrow" w:cs="Tahoma"/>
          <w:b/>
          <w:sz w:val="24"/>
          <w:szCs w:val="24"/>
        </w:rPr>
      </w:pPr>
    </w:p>
    <w:p w:rsidR="00992913" w:rsidRPr="00276DD8" w:rsidRDefault="00F408D7" w:rsidP="00992913">
      <w:pPr>
        <w:rPr>
          <w:rFonts w:ascii="Arial Narrow" w:hAnsi="Arial Narrow" w:cs="Tahoma"/>
          <w:sz w:val="30"/>
          <w:szCs w:val="30"/>
        </w:rPr>
      </w:pPr>
      <w:r w:rsidRPr="00276DD8">
        <w:rPr>
          <w:rFonts w:ascii="Arial Narrow" w:hAnsi="Arial Narrow" w:cs="Tahoma"/>
          <w:b/>
          <w:sz w:val="30"/>
          <w:szCs w:val="30"/>
        </w:rPr>
        <w:lastRenderedPageBreak/>
        <w:t>Monthly inflation</w:t>
      </w:r>
      <w:r w:rsidR="00992913" w:rsidRPr="00276DD8">
        <w:rPr>
          <w:rFonts w:ascii="Arial Narrow" w:hAnsi="Arial Narrow" w:cs="Tahoma"/>
          <w:b/>
          <w:sz w:val="30"/>
          <w:szCs w:val="30"/>
        </w:rPr>
        <w:t xml:space="preserve"> </w:t>
      </w:r>
      <w:r w:rsidRPr="00276DD8">
        <w:rPr>
          <w:rFonts w:ascii="Arial Narrow" w:hAnsi="Arial Narrow" w:cs="Tahoma"/>
          <w:b/>
          <w:sz w:val="30"/>
          <w:szCs w:val="30"/>
        </w:rPr>
        <w:t>0.</w:t>
      </w:r>
      <w:r w:rsidR="00992913" w:rsidRPr="00276DD8">
        <w:rPr>
          <w:rFonts w:ascii="Arial Narrow" w:hAnsi="Arial Narrow" w:cs="Tahoma"/>
          <w:b/>
          <w:sz w:val="30"/>
          <w:szCs w:val="30"/>
        </w:rPr>
        <w:t>3%</w:t>
      </w:r>
      <w:r w:rsidRPr="00276DD8">
        <w:rPr>
          <w:rFonts w:ascii="Arial Narrow" w:hAnsi="Arial Narrow" w:cs="Tahoma"/>
          <w:b/>
          <w:sz w:val="30"/>
          <w:szCs w:val="30"/>
        </w:rPr>
        <w:t xml:space="preserve"> in September 2018</w:t>
      </w:r>
    </w:p>
    <w:p w:rsidR="00992913" w:rsidRPr="00276DD8" w:rsidRDefault="00F408D7" w:rsidP="00992913">
      <w:pPr>
        <w:rPr>
          <w:rFonts w:ascii="Arial Narrow" w:hAnsi="Arial Narrow" w:cs="Tahoma"/>
          <w:b/>
          <w:sz w:val="28"/>
          <w:szCs w:val="22"/>
        </w:rPr>
      </w:pPr>
      <w:r w:rsidRPr="00276DD8">
        <w:rPr>
          <w:rFonts w:ascii="Arial Narrow" w:hAnsi="Arial Narrow" w:cs="Tahoma"/>
          <w:b/>
          <w:sz w:val="28"/>
          <w:szCs w:val="22"/>
        </w:rPr>
        <w:t>Annual inflation</w:t>
      </w:r>
      <w:r w:rsidR="00992913" w:rsidRPr="00276DD8">
        <w:rPr>
          <w:rFonts w:ascii="Arial Narrow" w:hAnsi="Arial Narrow" w:cs="Tahoma"/>
          <w:b/>
          <w:sz w:val="28"/>
          <w:szCs w:val="22"/>
        </w:rPr>
        <w:t xml:space="preserve"> (</w:t>
      </w:r>
      <w:r w:rsidRPr="00276DD8">
        <w:rPr>
          <w:rFonts w:ascii="Arial Narrow" w:hAnsi="Arial Narrow" w:cs="Tahoma"/>
          <w:b/>
          <w:sz w:val="28"/>
          <w:szCs w:val="22"/>
        </w:rPr>
        <w:t>September</w:t>
      </w:r>
      <w:r w:rsidR="00992913" w:rsidRPr="00276DD8">
        <w:rPr>
          <w:rFonts w:ascii="Arial Narrow" w:hAnsi="Arial Narrow" w:cs="Tahoma"/>
          <w:b/>
          <w:sz w:val="28"/>
          <w:szCs w:val="22"/>
        </w:rPr>
        <w:t xml:space="preserve"> 2018/</w:t>
      </w:r>
      <w:r w:rsidRPr="00276DD8">
        <w:rPr>
          <w:rFonts w:ascii="Arial Narrow" w:hAnsi="Arial Narrow" w:cs="Tahoma"/>
          <w:b/>
          <w:sz w:val="28"/>
          <w:szCs w:val="22"/>
        </w:rPr>
        <w:t>September 2017) 1.</w:t>
      </w:r>
      <w:r w:rsidR="00992913" w:rsidRPr="00276DD8">
        <w:rPr>
          <w:rFonts w:ascii="Arial Narrow" w:hAnsi="Arial Narrow" w:cs="Tahoma"/>
          <w:b/>
          <w:sz w:val="28"/>
          <w:szCs w:val="22"/>
        </w:rPr>
        <w:t>6%</w:t>
      </w:r>
    </w:p>
    <w:p w:rsidR="00992913" w:rsidRPr="00276DD8" w:rsidRDefault="00992913" w:rsidP="00992913">
      <w:pPr>
        <w:rPr>
          <w:rFonts w:ascii="Arial Narrow" w:hAnsi="Arial Narrow" w:cs="Tahoma"/>
          <w:b/>
          <w:sz w:val="22"/>
          <w:szCs w:val="22"/>
        </w:rPr>
      </w:pPr>
    </w:p>
    <w:p w:rsidR="00766C55" w:rsidRPr="00276DD8" w:rsidRDefault="00766C55" w:rsidP="00992913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276DD8">
        <w:rPr>
          <w:rFonts w:ascii="Arial Narrow" w:hAnsi="Arial Narrow" w:cs="Tahoma"/>
          <w:sz w:val="22"/>
          <w:szCs w:val="22"/>
        </w:rPr>
        <w:t>Prices of products and services for personal consumption in Republika Srpska, measures with the consumer price index, in September 2018, compared to the previous month, were on the average 0.3% higher, while they were 1.6% higher at the annual level.</w:t>
      </w:r>
    </w:p>
    <w:p w:rsidR="00766C55" w:rsidRPr="00276DD8" w:rsidRDefault="00766C55" w:rsidP="00992913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276DD8">
        <w:rPr>
          <w:rFonts w:ascii="Arial Narrow" w:hAnsi="Arial Narrow" w:cs="Tahoma"/>
          <w:sz w:val="22"/>
        </w:rPr>
        <w:t xml:space="preserve">Of the 12 main divisions of products and services, an increase in prices was recorded in </w:t>
      </w:r>
      <w:r w:rsidRPr="00276DD8">
        <w:rPr>
          <w:rFonts w:ascii="Arial Narrow" w:hAnsi="Arial Narrow" w:cs="Tahoma"/>
          <w:sz w:val="22"/>
        </w:rPr>
        <w:t>five</w:t>
      </w:r>
      <w:r w:rsidRPr="00276DD8">
        <w:rPr>
          <w:rFonts w:ascii="Arial Narrow" w:hAnsi="Arial Narrow" w:cs="Tahoma"/>
          <w:sz w:val="22"/>
        </w:rPr>
        <w:t xml:space="preserve"> divisions, a decrease was recorded in </w:t>
      </w:r>
      <w:r w:rsidRPr="00276DD8">
        <w:rPr>
          <w:rFonts w:ascii="Arial Narrow" w:hAnsi="Arial Narrow" w:cs="Tahoma"/>
          <w:sz w:val="22"/>
        </w:rPr>
        <w:t>four</w:t>
      </w:r>
      <w:r w:rsidRPr="00276DD8">
        <w:rPr>
          <w:rFonts w:ascii="Arial Narrow" w:hAnsi="Arial Narrow" w:cs="Tahoma"/>
          <w:sz w:val="22"/>
        </w:rPr>
        <w:t xml:space="preserve"> division</w:t>
      </w:r>
      <w:r w:rsidRPr="00276DD8">
        <w:rPr>
          <w:rFonts w:ascii="Arial Narrow" w:hAnsi="Arial Narrow" w:cs="Tahoma"/>
          <w:sz w:val="22"/>
        </w:rPr>
        <w:t>s</w:t>
      </w:r>
      <w:r w:rsidRPr="00276DD8">
        <w:rPr>
          <w:rFonts w:ascii="Arial Narrow" w:hAnsi="Arial Narrow" w:cs="Tahoma"/>
          <w:sz w:val="22"/>
        </w:rPr>
        <w:t xml:space="preserve">, while prices in </w:t>
      </w:r>
      <w:r w:rsidRPr="00276DD8">
        <w:rPr>
          <w:rFonts w:ascii="Arial Narrow" w:hAnsi="Arial Narrow" w:cs="Tahoma"/>
          <w:sz w:val="22"/>
        </w:rPr>
        <w:t>three</w:t>
      </w:r>
      <w:r w:rsidRPr="00276DD8">
        <w:rPr>
          <w:rFonts w:ascii="Arial Narrow" w:hAnsi="Arial Narrow" w:cs="Tahoma"/>
          <w:sz w:val="22"/>
        </w:rPr>
        <w:t xml:space="preserve"> divisions remained on the average at the same level</w:t>
      </w:r>
    </w:p>
    <w:p w:rsidR="00766C55" w:rsidRPr="00276DD8" w:rsidRDefault="00766C55" w:rsidP="00992913">
      <w:pPr>
        <w:jc w:val="both"/>
        <w:rPr>
          <w:rFonts w:ascii="Arial Narrow" w:hAnsi="Arial Narrow" w:cs="Tahoma"/>
          <w:sz w:val="22"/>
          <w:szCs w:val="22"/>
        </w:rPr>
      </w:pPr>
      <w:r w:rsidRPr="00276DD8">
        <w:rPr>
          <w:rFonts w:ascii="Arial Narrow" w:hAnsi="Arial Narrow" w:cs="Tahoma"/>
          <w:sz w:val="22"/>
          <w:szCs w:val="22"/>
        </w:rPr>
        <w:t xml:space="preserve">The highest increase in prices in September was recorded in the division Clothing and footwear (3.3%), due to higher prices in the group clothing by 4.3% and in the group footwear by 1.3%. Higher prices were also recorded in the division Transport (0.8%), due to higher prices in the group fuels and lubricants by 1.7% and in the division Housing (0.7%), due to higher prices in the group solid fuels (an increase in prices of firewood by 2.5%). An increase in prices was also recorded in the division Health (0.3%), due to higher prices in the group </w:t>
      </w:r>
      <w:r w:rsidR="001C3710" w:rsidRPr="00276DD8">
        <w:rPr>
          <w:rFonts w:ascii="Arial Narrow" w:hAnsi="Arial Narrow" w:cs="Tahoma"/>
          <w:sz w:val="22"/>
          <w:szCs w:val="22"/>
        </w:rPr>
        <w:t xml:space="preserve">therapeutic devices and equipment by 0.5% and due to higher prices of certain medicaments in the group pharmaceutical products by 0.4%. Higher prices were also recorded in the division Food and non-alcoholic beverages (0.2%), due to higher seasonal prices of vegetables by 3.3%. </w:t>
      </w:r>
    </w:p>
    <w:p w:rsidR="00992913" w:rsidRPr="00276DD8" w:rsidRDefault="00992913" w:rsidP="00992913">
      <w:pPr>
        <w:jc w:val="both"/>
        <w:rPr>
          <w:rFonts w:ascii="Arial Narrow" w:hAnsi="Arial Narrow" w:cs="Tahoma"/>
          <w:sz w:val="22"/>
          <w:szCs w:val="22"/>
        </w:rPr>
      </w:pPr>
    </w:p>
    <w:p w:rsidR="00992913" w:rsidRPr="00276DD8" w:rsidRDefault="001C3710" w:rsidP="00992913">
      <w:pPr>
        <w:jc w:val="both"/>
        <w:rPr>
          <w:rFonts w:ascii="Arial Narrow" w:hAnsi="Arial Narrow" w:cs="Tahoma"/>
          <w:sz w:val="22"/>
          <w:szCs w:val="22"/>
        </w:rPr>
      </w:pPr>
      <w:r w:rsidRPr="00276DD8">
        <w:rPr>
          <w:rFonts w:ascii="Arial Narrow" w:hAnsi="Arial Narrow" w:cs="Tahoma"/>
          <w:sz w:val="22"/>
          <w:szCs w:val="22"/>
        </w:rPr>
        <w:t>In the divisions</w:t>
      </w:r>
      <w:r w:rsidR="00992913" w:rsidRPr="00276DD8">
        <w:rPr>
          <w:rFonts w:ascii="Arial Narrow" w:hAnsi="Arial Narrow" w:cs="Tahoma"/>
          <w:sz w:val="22"/>
          <w:szCs w:val="22"/>
        </w:rPr>
        <w:t xml:space="preserve"> </w:t>
      </w:r>
      <w:r w:rsidRPr="00276DD8">
        <w:rPr>
          <w:rFonts w:ascii="Arial Narrow" w:hAnsi="Arial Narrow" w:cs="Tahoma"/>
          <w:sz w:val="22"/>
          <w:szCs w:val="22"/>
        </w:rPr>
        <w:t>Communication</w:t>
      </w:r>
      <w:r w:rsidR="00992913" w:rsidRPr="00276DD8">
        <w:rPr>
          <w:rFonts w:ascii="Arial Narrow" w:hAnsi="Arial Narrow" w:cs="Tahoma"/>
          <w:sz w:val="22"/>
          <w:szCs w:val="22"/>
        </w:rPr>
        <w:t xml:space="preserve">, </w:t>
      </w:r>
      <w:r w:rsidRPr="00276DD8">
        <w:rPr>
          <w:rFonts w:ascii="Arial Narrow" w:hAnsi="Arial Narrow" w:cs="Tahoma"/>
          <w:sz w:val="22"/>
          <w:szCs w:val="22"/>
        </w:rPr>
        <w:t>Education</w:t>
      </w:r>
      <w:r w:rsidR="00992913" w:rsidRPr="00276DD8">
        <w:rPr>
          <w:rFonts w:ascii="Arial Narrow" w:hAnsi="Arial Narrow" w:cs="Tahoma"/>
          <w:sz w:val="22"/>
          <w:szCs w:val="22"/>
        </w:rPr>
        <w:t xml:space="preserve">, </w:t>
      </w:r>
      <w:r w:rsidRPr="00276DD8">
        <w:rPr>
          <w:rFonts w:ascii="Arial Narrow" w:hAnsi="Arial Narrow" w:cs="Tahoma"/>
          <w:sz w:val="22"/>
          <w:szCs w:val="22"/>
        </w:rPr>
        <w:t>and Restaurants and hotels prices remained on the average at the same level</w:t>
      </w:r>
      <w:r w:rsidR="00992913" w:rsidRPr="00276DD8">
        <w:rPr>
          <w:rFonts w:ascii="Arial Narrow" w:hAnsi="Arial Narrow" w:cs="Tahoma"/>
          <w:sz w:val="22"/>
          <w:szCs w:val="22"/>
        </w:rPr>
        <w:t>.</w:t>
      </w:r>
    </w:p>
    <w:p w:rsidR="00992913" w:rsidRPr="00276DD8" w:rsidRDefault="00992913" w:rsidP="00992913">
      <w:pPr>
        <w:jc w:val="both"/>
        <w:rPr>
          <w:rFonts w:ascii="Arial Narrow" w:hAnsi="Arial Narrow" w:cs="Tahoma"/>
          <w:sz w:val="22"/>
          <w:szCs w:val="22"/>
        </w:rPr>
      </w:pPr>
    </w:p>
    <w:p w:rsidR="00277108" w:rsidRPr="00276DD8" w:rsidRDefault="00277108" w:rsidP="00992913">
      <w:pPr>
        <w:jc w:val="both"/>
        <w:rPr>
          <w:rFonts w:ascii="Arial Narrow" w:hAnsi="Arial Narrow" w:cs="Tahoma"/>
          <w:sz w:val="22"/>
          <w:szCs w:val="22"/>
        </w:rPr>
      </w:pPr>
      <w:r w:rsidRPr="00276DD8">
        <w:rPr>
          <w:rFonts w:ascii="Arial Narrow" w:hAnsi="Arial Narrow" w:cs="Tahoma"/>
          <w:sz w:val="22"/>
          <w:szCs w:val="22"/>
        </w:rPr>
        <w:t>The highest decrease in prices in September was recorded in the division Other goods and services (1.6%), due to lower prices in the group insurance by 1.6% and in the group personal care products by 0.4%, followed by the division Recreation and culture (0.5%), due to lower prices in the group travel arrangements by 11.2%. Lower prices were also recorded in the division Furnishing and household equipment (0.2%), due to lower prices in the group</w:t>
      </w:r>
      <w:r w:rsidRPr="00276DD8">
        <w:rPr>
          <w:rFonts w:ascii="Arial Narrow" w:hAnsi="Arial Narrow" w:cs="Tahoma"/>
          <w:sz w:val="22"/>
        </w:rPr>
        <w:t xml:space="preserve"> </w:t>
      </w:r>
      <w:r w:rsidRPr="00276DD8">
        <w:rPr>
          <w:rFonts w:ascii="Arial Narrow" w:hAnsi="Arial Narrow" w:cs="Tahoma"/>
          <w:sz w:val="22"/>
        </w:rPr>
        <w:t>goods and services for routine household maintenance by</w:t>
      </w:r>
      <w:r w:rsidRPr="00276DD8">
        <w:rPr>
          <w:rFonts w:ascii="Arial Narrow" w:hAnsi="Arial Narrow" w:cs="Tahoma"/>
          <w:sz w:val="22"/>
        </w:rPr>
        <w:t xml:space="preserve"> 0.4%, and in the groups household textiles and household appliances by 0.3% both. A decrease in prices by 0.1% was recorded in the division Alcoholic beverages and tobacco. </w:t>
      </w:r>
    </w:p>
    <w:p w:rsidR="00992913" w:rsidRPr="00276DD8" w:rsidRDefault="00992913" w:rsidP="00992913">
      <w:pPr>
        <w:jc w:val="both"/>
        <w:rPr>
          <w:rFonts w:ascii="Arial Narrow" w:hAnsi="Arial Narrow" w:cs="Tahoma"/>
          <w:sz w:val="22"/>
          <w:szCs w:val="22"/>
        </w:rPr>
      </w:pPr>
      <w:r w:rsidRPr="00276DD8">
        <w:rPr>
          <w:rFonts w:ascii="Arial Narrow" w:hAnsi="Arial Narrow" w:cs="Tahoma"/>
          <w:i/>
          <w:sz w:val="22"/>
          <w:szCs w:val="22"/>
        </w:rPr>
        <w:t xml:space="preserve"> </w:t>
      </w:r>
    </w:p>
    <w:p w:rsidR="009B11B7" w:rsidRPr="00276DD8" w:rsidRDefault="009B11B7" w:rsidP="009B11B7">
      <w:pPr>
        <w:rPr>
          <w:rFonts w:ascii="Tahoma" w:hAnsi="Tahoma" w:cs="Tahoma"/>
          <w:b/>
        </w:rPr>
      </w:pPr>
    </w:p>
    <w:p w:rsidR="00020FA2" w:rsidRPr="00276DD8" w:rsidRDefault="00F54F60" w:rsidP="002A6E5D">
      <w:pPr>
        <w:jc w:val="center"/>
        <w:rPr>
          <w:rFonts w:ascii="Calibri" w:hAnsi="Calibri"/>
          <w:noProof/>
          <w:sz w:val="22"/>
          <w:szCs w:val="22"/>
        </w:rPr>
      </w:pPr>
      <w:r w:rsidRPr="00276DD8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A108D6" wp14:editId="47DCA86C">
                <wp:simplePos x="0" y="0"/>
                <wp:positionH relativeFrom="column">
                  <wp:posOffset>3609892</wp:posOffset>
                </wp:positionH>
                <wp:positionV relativeFrom="paragraph">
                  <wp:posOffset>1560388</wp:posOffset>
                </wp:positionV>
                <wp:extent cx="953770" cy="241539"/>
                <wp:effectExtent l="0" t="0" r="0" b="63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41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4F60" w:rsidRPr="00EA799C" w:rsidRDefault="00F54F60" w:rsidP="00F54F6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108D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84.25pt;margin-top:122.85pt;width:7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" fillcolor="window" stroked="f" strokeweight=".5pt">
                <v:textbox>
                  <w:txbxContent>
                    <w:p w:rsidR="00F54F60" w:rsidRPr="00EA799C" w:rsidRDefault="00F54F60" w:rsidP="00F54F60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</v:shape>
            </w:pict>
          </mc:Fallback>
        </mc:AlternateContent>
      </w:r>
      <w:r w:rsidRPr="00276DD8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F2E5D2" wp14:editId="6E678227">
                <wp:simplePos x="0" y="0"/>
                <wp:positionH relativeFrom="column">
                  <wp:posOffset>2170706</wp:posOffset>
                </wp:positionH>
                <wp:positionV relativeFrom="paragraph">
                  <wp:posOffset>1548213</wp:posOffset>
                </wp:positionV>
                <wp:extent cx="938254" cy="294199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4F60" w:rsidRPr="00EA799C" w:rsidRDefault="00F54F60" w:rsidP="00F54F6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2E5D2" id="Text Box 28" o:spid="_x0000_s1027" type="#_x0000_t202" style="position:absolute;left:0;text-align:left;margin-left:170.9pt;margin-top:121.9pt;width:73.9pt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" fillcolor="window" stroked="f" strokeweight=".5pt">
                <v:textbox>
                  <w:txbxContent>
                    <w:p w:rsidR="00F54F60" w:rsidRPr="00EA799C" w:rsidRDefault="00F54F60" w:rsidP="00F54F60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</v:shape>
            </w:pict>
          </mc:Fallback>
        </mc:AlternateContent>
      </w:r>
      <w:r w:rsidR="00773A1E" w:rsidRPr="00276DD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2139205</wp:posOffset>
                </wp:positionH>
                <wp:positionV relativeFrom="paragraph">
                  <wp:posOffset>1748873</wp:posOffset>
                </wp:positionV>
                <wp:extent cx="2177829" cy="200053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829" cy="200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05" w:rsidRDefault="00875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68.45pt;margin-top:137.7pt;width:171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" fillcolor="white [3201]" stroked="f" strokeweight=".5pt">
                <v:textbox>
                  <w:txbxContent>
                    <w:p w:rsidR="00875D05" w:rsidRDefault="00875D05"/>
                  </w:txbxContent>
                </v:textbox>
              </v:shape>
            </w:pict>
          </mc:Fallback>
        </mc:AlternateContent>
      </w:r>
      <w:r w:rsidR="00400878" w:rsidRPr="00276DD8">
        <w:rPr>
          <w:rFonts w:ascii="Tahoma" w:hAnsi="Tahoma" w:cs="Tahoma"/>
          <w:bCs/>
          <w:noProof/>
          <w:spacing w:val="-3"/>
          <w:sz w:val="16"/>
          <w:szCs w:val="16"/>
        </w:rPr>
        <w:drawing>
          <wp:inline distT="0" distB="0" distL="0" distR="0" wp14:anchorId="3ACE875E" wp14:editId="202BF7D8">
            <wp:extent cx="5986780" cy="1860605"/>
            <wp:effectExtent l="0" t="0" r="0" b="635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E5D" w:rsidRPr="00276DD8" w:rsidRDefault="002A6E5D" w:rsidP="002A6E5D">
      <w:pPr>
        <w:jc w:val="center"/>
        <w:rPr>
          <w:rFonts w:ascii="Arial Narrow" w:hAnsi="Arial Narrow" w:cs="Tahoma"/>
          <w:sz w:val="18"/>
          <w:szCs w:val="16"/>
        </w:rPr>
      </w:pPr>
    </w:p>
    <w:p w:rsidR="002A6E5D" w:rsidRPr="00276DD8" w:rsidRDefault="00F54F60" w:rsidP="002A6E5D">
      <w:pPr>
        <w:jc w:val="center"/>
        <w:rPr>
          <w:rFonts w:ascii="Arial Narrow" w:hAnsi="Arial Narrow" w:cs="Tahoma"/>
          <w:sz w:val="18"/>
          <w:szCs w:val="16"/>
        </w:rPr>
      </w:pPr>
      <w:r w:rsidRPr="00276DD8">
        <w:rPr>
          <w:rFonts w:ascii="Arial Narrow" w:hAnsi="Arial Narrow" w:cs="Tahoma"/>
          <w:sz w:val="18"/>
          <w:szCs w:val="16"/>
        </w:rPr>
        <w:t>Graph</w:t>
      </w:r>
      <w:r w:rsidR="002A6E5D" w:rsidRPr="00276DD8">
        <w:rPr>
          <w:rFonts w:ascii="Arial Narrow" w:hAnsi="Arial Narrow" w:cs="Tahoma"/>
          <w:sz w:val="18"/>
          <w:szCs w:val="16"/>
        </w:rPr>
        <w:t xml:space="preserve"> 2. </w:t>
      </w:r>
      <w:r w:rsidRPr="00276DD8">
        <w:rPr>
          <w:rFonts w:ascii="Arial Narrow" w:hAnsi="Arial Narrow" w:cs="Tahoma"/>
          <w:sz w:val="18"/>
          <w:szCs w:val="16"/>
        </w:rPr>
        <w:t>Monthly and annual inflation</w:t>
      </w:r>
    </w:p>
    <w:p w:rsidR="002A6E5D" w:rsidRPr="00276DD8" w:rsidRDefault="002A6E5D" w:rsidP="00901910">
      <w:pPr>
        <w:rPr>
          <w:rFonts w:ascii="Arial Narrow" w:hAnsi="Arial Narrow" w:cs="Tahoma"/>
          <w:b/>
          <w:sz w:val="22"/>
          <w:szCs w:val="22"/>
        </w:rPr>
      </w:pPr>
    </w:p>
    <w:p w:rsidR="00C51220" w:rsidRPr="00276DD8" w:rsidRDefault="00EB4544" w:rsidP="00C51220">
      <w:pPr>
        <w:jc w:val="both"/>
        <w:rPr>
          <w:rFonts w:ascii="Arial Narrow" w:hAnsi="Arial Narrow" w:cs="Tahoma"/>
          <w:b/>
          <w:bCs/>
          <w:sz w:val="28"/>
          <w:szCs w:val="30"/>
        </w:rPr>
      </w:pPr>
      <w:r w:rsidRPr="00276DD8">
        <w:rPr>
          <w:rFonts w:ascii="Arial Narrow" w:hAnsi="Arial Narrow" w:cs="Tahoma"/>
          <w:b/>
          <w:bCs/>
          <w:sz w:val="30"/>
          <w:szCs w:val="30"/>
        </w:rPr>
        <w:t xml:space="preserve">Working-day adjusted industrial production </w:t>
      </w:r>
      <w:r w:rsidRPr="00276DD8">
        <w:rPr>
          <w:rFonts w:ascii="Arial Narrow" w:hAnsi="Arial Narrow" w:cs="Tahoma"/>
          <w:b/>
          <w:sz w:val="30"/>
          <w:szCs w:val="30"/>
        </w:rPr>
        <w:t>(January-September 201</w:t>
      </w:r>
      <w:r w:rsidRPr="00276DD8">
        <w:rPr>
          <w:rFonts w:ascii="Arial Narrow" w:hAnsi="Arial Narrow" w:cs="Tahoma"/>
          <w:b/>
          <w:sz w:val="30"/>
          <w:szCs w:val="30"/>
        </w:rPr>
        <w:t>8</w:t>
      </w:r>
      <w:r w:rsidRPr="00276DD8">
        <w:rPr>
          <w:rFonts w:ascii="Arial Narrow" w:hAnsi="Arial Narrow" w:cs="Tahoma"/>
          <w:b/>
          <w:sz w:val="30"/>
          <w:szCs w:val="30"/>
        </w:rPr>
        <w:t xml:space="preserve">/January-September </w:t>
      </w:r>
      <w:r w:rsidRPr="00276DD8">
        <w:rPr>
          <w:rFonts w:ascii="Arial Narrow" w:hAnsi="Arial Narrow" w:cs="Tahoma"/>
          <w:b/>
          <w:bCs/>
          <w:sz w:val="30"/>
          <w:szCs w:val="30"/>
        </w:rPr>
        <w:t>201</w:t>
      </w:r>
      <w:r w:rsidRPr="00276DD8">
        <w:rPr>
          <w:rFonts w:ascii="Arial Narrow" w:hAnsi="Arial Narrow" w:cs="Tahoma"/>
          <w:b/>
          <w:bCs/>
          <w:sz w:val="30"/>
          <w:szCs w:val="30"/>
        </w:rPr>
        <w:t>7</w:t>
      </w:r>
      <w:r w:rsidRPr="00276DD8">
        <w:rPr>
          <w:rFonts w:ascii="Arial Narrow" w:hAnsi="Arial Narrow" w:cs="Tahoma"/>
          <w:b/>
          <w:bCs/>
          <w:sz w:val="30"/>
          <w:szCs w:val="30"/>
        </w:rPr>
        <w:t xml:space="preserve">) increased by </w:t>
      </w:r>
      <w:r w:rsidRPr="00276DD8">
        <w:rPr>
          <w:rFonts w:ascii="Arial Narrow" w:hAnsi="Arial Narrow" w:cs="Tahoma"/>
          <w:b/>
          <w:bCs/>
          <w:sz w:val="28"/>
          <w:szCs w:val="30"/>
        </w:rPr>
        <w:t>5.</w:t>
      </w:r>
      <w:r w:rsidR="00C51220" w:rsidRPr="00276DD8">
        <w:rPr>
          <w:rFonts w:ascii="Arial Narrow" w:hAnsi="Arial Narrow" w:cs="Tahoma"/>
          <w:b/>
          <w:bCs/>
          <w:sz w:val="28"/>
          <w:szCs w:val="30"/>
        </w:rPr>
        <w:t>3%</w:t>
      </w:r>
    </w:p>
    <w:p w:rsidR="00C51220" w:rsidRPr="00276DD8" w:rsidRDefault="00EB4544" w:rsidP="00C51220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276DD8">
        <w:rPr>
          <w:rFonts w:ascii="Arial Narrow" w:hAnsi="Arial Narrow" w:cs="Tahoma"/>
          <w:b/>
          <w:sz w:val="28"/>
        </w:rPr>
        <w:t>Number of employees in industry (</w:t>
      </w:r>
      <w:r w:rsidRPr="00276DD8">
        <w:rPr>
          <w:rFonts w:ascii="Arial Narrow" w:hAnsi="Arial Narrow" w:cs="Tahoma"/>
          <w:b/>
          <w:sz w:val="28"/>
          <w:szCs w:val="28"/>
        </w:rPr>
        <w:t>January-September 201</w:t>
      </w:r>
      <w:r w:rsidRPr="00276DD8">
        <w:rPr>
          <w:rFonts w:ascii="Arial Narrow" w:hAnsi="Arial Narrow" w:cs="Tahoma"/>
          <w:b/>
          <w:sz w:val="28"/>
          <w:szCs w:val="28"/>
        </w:rPr>
        <w:t>8</w:t>
      </w:r>
      <w:r w:rsidRPr="00276DD8">
        <w:rPr>
          <w:rFonts w:ascii="Arial Narrow" w:hAnsi="Arial Narrow" w:cs="Tahoma"/>
          <w:b/>
          <w:sz w:val="28"/>
          <w:szCs w:val="28"/>
        </w:rPr>
        <w:t xml:space="preserve">/January-September </w:t>
      </w:r>
      <w:r w:rsidRPr="00276DD8">
        <w:rPr>
          <w:rFonts w:ascii="Arial Narrow" w:hAnsi="Arial Narrow" w:cs="Tahoma"/>
          <w:b/>
          <w:bCs/>
          <w:sz w:val="28"/>
          <w:szCs w:val="28"/>
        </w:rPr>
        <w:t>201</w:t>
      </w:r>
      <w:r w:rsidRPr="00276DD8">
        <w:rPr>
          <w:rFonts w:ascii="Arial Narrow" w:hAnsi="Arial Narrow" w:cs="Tahoma"/>
          <w:b/>
          <w:bCs/>
          <w:sz w:val="28"/>
          <w:szCs w:val="28"/>
        </w:rPr>
        <w:t>7</w:t>
      </w:r>
      <w:r w:rsidRPr="00276DD8">
        <w:rPr>
          <w:rFonts w:ascii="Arial Narrow" w:hAnsi="Arial Narrow" w:cs="Tahoma"/>
          <w:b/>
          <w:sz w:val="28"/>
          <w:szCs w:val="28"/>
        </w:rPr>
        <w:t>)</w:t>
      </w:r>
      <w:r w:rsidRPr="00276DD8">
        <w:rPr>
          <w:rFonts w:ascii="Arial Narrow" w:hAnsi="Arial Narrow" w:cs="Tahoma"/>
          <w:b/>
          <w:sz w:val="28"/>
        </w:rPr>
        <w:t xml:space="preserve"> increased by </w:t>
      </w:r>
      <w:r w:rsidRPr="00276DD8">
        <w:rPr>
          <w:rFonts w:ascii="Arial Narrow" w:hAnsi="Arial Narrow" w:cs="Tahoma"/>
          <w:b/>
          <w:sz w:val="28"/>
        </w:rPr>
        <w:t>2.</w:t>
      </w:r>
      <w:r w:rsidR="00C51220" w:rsidRPr="00276DD8">
        <w:rPr>
          <w:rFonts w:ascii="Arial Narrow" w:hAnsi="Arial Narrow" w:cs="Tahoma"/>
          <w:b/>
          <w:sz w:val="28"/>
        </w:rPr>
        <w:t>2%</w:t>
      </w:r>
    </w:p>
    <w:p w:rsidR="00C51220" w:rsidRPr="00276DD8" w:rsidRDefault="00C51220" w:rsidP="00C51220">
      <w:pPr>
        <w:jc w:val="both"/>
        <w:rPr>
          <w:rFonts w:ascii="Arial Narrow" w:hAnsi="Arial Narrow" w:cs="Tahoma"/>
          <w:sz w:val="22"/>
        </w:rPr>
      </w:pPr>
    </w:p>
    <w:p w:rsidR="00EB4544" w:rsidRPr="00276DD8" w:rsidRDefault="00EB4544" w:rsidP="00C51220">
      <w:pPr>
        <w:jc w:val="both"/>
        <w:rPr>
          <w:rFonts w:ascii="Arial Narrow" w:hAnsi="Arial Narrow" w:cs="Tahoma"/>
          <w:b/>
          <w:sz w:val="22"/>
        </w:rPr>
      </w:pPr>
      <w:r w:rsidRPr="00276DD8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276DD8">
        <w:rPr>
          <w:rFonts w:ascii="Arial Narrow" w:hAnsi="Arial Narrow" w:cs="Tahoma"/>
          <w:sz w:val="22"/>
        </w:rPr>
        <w:t>in the period January-September</w:t>
      </w:r>
      <w:r w:rsidRPr="00276DD8">
        <w:rPr>
          <w:rFonts w:ascii="Arial Narrow" w:hAnsi="Arial Narrow" w:cs="Tahoma"/>
          <w:sz w:val="22"/>
        </w:rPr>
        <w:t xml:space="preserve"> 2018</w:t>
      </w:r>
      <w:r w:rsidRPr="00276DD8">
        <w:rPr>
          <w:rFonts w:ascii="Arial Narrow" w:hAnsi="Arial Narrow" w:cs="Tahoma"/>
          <w:sz w:val="22"/>
        </w:rPr>
        <w:t>, compared to the same period of 201</w:t>
      </w:r>
      <w:r w:rsidRPr="00276DD8">
        <w:rPr>
          <w:rFonts w:ascii="Arial Narrow" w:hAnsi="Arial Narrow" w:cs="Tahoma"/>
          <w:sz w:val="22"/>
        </w:rPr>
        <w:t xml:space="preserve">7, increased by 5.3%. During the same period, in the section </w:t>
      </w:r>
      <w:r w:rsidRPr="00276DD8">
        <w:rPr>
          <w:rFonts w:ascii="Arial Narrow" w:hAnsi="Arial Narrow" w:cs="Tahoma"/>
          <w:i/>
          <w:sz w:val="22"/>
        </w:rPr>
        <w:t>Electricity, gas, steam and air-conditioning supply</w:t>
      </w:r>
      <w:r w:rsidRPr="00276DD8">
        <w:rPr>
          <w:rFonts w:ascii="Arial Narrow" w:hAnsi="Arial Narrow" w:cs="Tahoma"/>
          <w:sz w:val="22"/>
        </w:rPr>
        <w:t xml:space="preserve"> a</w:t>
      </w:r>
      <w:r w:rsidRPr="00276DD8">
        <w:rPr>
          <w:rFonts w:ascii="Arial Narrow" w:hAnsi="Arial Narrow" w:cs="Tahoma"/>
          <w:sz w:val="22"/>
        </w:rPr>
        <w:t>n in</w:t>
      </w:r>
      <w:r w:rsidRPr="00276DD8">
        <w:rPr>
          <w:rFonts w:ascii="Arial Narrow" w:hAnsi="Arial Narrow" w:cs="Tahoma"/>
          <w:sz w:val="22"/>
        </w:rPr>
        <w:t>crease</w:t>
      </w:r>
      <w:r w:rsidRPr="00276DD8">
        <w:rPr>
          <w:rFonts w:ascii="Arial Narrow" w:hAnsi="Arial Narrow" w:cs="Tahoma"/>
          <w:sz w:val="22"/>
        </w:rPr>
        <w:t xml:space="preserve"> by 27.0% was recorded and in the section </w:t>
      </w:r>
      <w:r w:rsidRPr="00276DD8">
        <w:rPr>
          <w:rFonts w:ascii="Arial Narrow" w:hAnsi="Arial Narrow" w:cs="Tahoma"/>
          <w:i/>
          <w:sz w:val="22"/>
        </w:rPr>
        <w:t xml:space="preserve">Mining and quarrying </w:t>
      </w:r>
      <w:r w:rsidRPr="00276DD8">
        <w:rPr>
          <w:rFonts w:ascii="Arial Narrow" w:hAnsi="Arial Narrow" w:cs="Tahoma"/>
          <w:sz w:val="22"/>
        </w:rPr>
        <w:t>an increase by 0</w:t>
      </w:r>
      <w:r w:rsidRPr="00276DD8">
        <w:rPr>
          <w:rFonts w:ascii="Arial Narrow" w:hAnsi="Arial Narrow" w:cs="Tahoma"/>
          <w:sz w:val="22"/>
        </w:rPr>
        <w:t>.7</w:t>
      </w:r>
      <w:r w:rsidRPr="00276DD8">
        <w:rPr>
          <w:rFonts w:ascii="Arial Narrow" w:hAnsi="Arial Narrow" w:cs="Tahoma"/>
          <w:sz w:val="22"/>
        </w:rPr>
        <w:t>%</w:t>
      </w:r>
      <w:r w:rsidRPr="00276DD8">
        <w:rPr>
          <w:rFonts w:ascii="Arial Narrow" w:hAnsi="Arial Narrow" w:cs="Tahoma"/>
          <w:sz w:val="22"/>
        </w:rPr>
        <w:t>, while in the section Manufacturing a decrease by 2.4% was recorded.</w:t>
      </w:r>
    </w:p>
    <w:p w:rsidR="00C51220" w:rsidRPr="00276DD8" w:rsidRDefault="00C51220" w:rsidP="00C51220">
      <w:pPr>
        <w:jc w:val="both"/>
        <w:rPr>
          <w:rFonts w:ascii="Arial Narrow" w:hAnsi="Arial Narrow" w:cs="Tahoma"/>
          <w:b/>
          <w:sz w:val="22"/>
        </w:rPr>
      </w:pPr>
    </w:p>
    <w:p w:rsidR="00C51220" w:rsidRPr="00276DD8" w:rsidRDefault="00EB4544" w:rsidP="00C51220">
      <w:pPr>
        <w:jc w:val="both"/>
        <w:rPr>
          <w:rFonts w:ascii="Arial Narrow" w:hAnsi="Arial Narrow" w:cs="Tahoma"/>
          <w:sz w:val="22"/>
        </w:rPr>
      </w:pPr>
      <w:r w:rsidRPr="00276DD8">
        <w:rPr>
          <w:rFonts w:ascii="Arial Narrow" w:hAnsi="Arial Narrow" w:cs="Tahoma"/>
          <w:b/>
          <w:sz w:val="22"/>
        </w:rPr>
        <w:t xml:space="preserve">Number of employees in industry </w:t>
      </w:r>
      <w:r w:rsidRPr="00276DD8">
        <w:rPr>
          <w:rFonts w:ascii="Arial Narrow" w:hAnsi="Arial Narrow" w:cs="Tahoma"/>
          <w:sz w:val="22"/>
        </w:rPr>
        <w:t>in September</w:t>
      </w:r>
      <w:r w:rsidRPr="00276DD8">
        <w:rPr>
          <w:rFonts w:ascii="Arial Narrow" w:hAnsi="Arial Narrow" w:cs="Tahoma"/>
          <w:sz w:val="22"/>
        </w:rPr>
        <w:t xml:space="preserve"> 2018</w:t>
      </w:r>
      <w:r w:rsidRPr="00276DD8">
        <w:rPr>
          <w:rFonts w:ascii="Arial Narrow" w:hAnsi="Arial Narrow" w:cs="Tahoma"/>
          <w:sz w:val="22"/>
        </w:rPr>
        <w:t>, compared to the average monthly nu</w:t>
      </w:r>
      <w:r w:rsidRPr="00276DD8">
        <w:rPr>
          <w:rFonts w:ascii="Arial Narrow" w:hAnsi="Arial Narrow" w:cs="Tahoma"/>
          <w:sz w:val="22"/>
        </w:rPr>
        <w:t>mber of employed persons in 2017</w:t>
      </w:r>
      <w:r w:rsidRPr="00276DD8">
        <w:rPr>
          <w:rFonts w:ascii="Arial Narrow" w:hAnsi="Arial Narrow" w:cs="Tahoma"/>
          <w:sz w:val="22"/>
        </w:rPr>
        <w:t xml:space="preserve">, increased by </w:t>
      </w:r>
      <w:r w:rsidRPr="00276DD8">
        <w:rPr>
          <w:rFonts w:ascii="Arial Narrow" w:hAnsi="Arial Narrow" w:cs="Tahoma"/>
          <w:sz w:val="22"/>
        </w:rPr>
        <w:t>2.</w:t>
      </w:r>
      <w:r w:rsidR="00C51220" w:rsidRPr="00276DD8">
        <w:rPr>
          <w:rFonts w:ascii="Arial Narrow" w:hAnsi="Arial Narrow" w:cs="Tahoma"/>
          <w:sz w:val="22"/>
        </w:rPr>
        <w:t>7%</w:t>
      </w:r>
      <w:r w:rsidRPr="00276DD8">
        <w:rPr>
          <w:rFonts w:ascii="Arial Narrow" w:hAnsi="Arial Narrow" w:cs="Tahoma"/>
          <w:sz w:val="22"/>
        </w:rPr>
        <w:t>. Compared to the same month of the previous year it was 1.</w:t>
      </w:r>
      <w:r w:rsidR="00C51220" w:rsidRPr="00276DD8">
        <w:rPr>
          <w:rFonts w:ascii="Arial Narrow" w:hAnsi="Arial Narrow" w:cs="Tahoma"/>
          <w:sz w:val="22"/>
        </w:rPr>
        <w:t>3%</w:t>
      </w:r>
      <w:r w:rsidRPr="00276DD8">
        <w:rPr>
          <w:rFonts w:ascii="Arial Narrow" w:hAnsi="Arial Narrow" w:cs="Tahoma"/>
          <w:sz w:val="22"/>
        </w:rPr>
        <w:t xml:space="preserve"> higher</w:t>
      </w:r>
      <w:r w:rsidR="00C51220" w:rsidRPr="00276DD8">
        <w:rPr>
          <w:rFonts w:ascii="Arial Narrow" w:hAnsi="Arial Narrow" w:cs="Tahoma"/>
          <w:sz w:val="22"/>
        </w:rPr>
        <w:t xml:space="preserve">, </w:t>
      </w:r>
      <w:r w:rsidRPr="00276DD8">
        <w:rPr>
          <w:rFonts w:ascii="Arial Narrow" w:hAnsi="Arial Narrow" w:cs="Tahoma"/>
          <w:sz w:val="22"/>
        </w:rPr>
        <w:t>while compared to August 2018 it was</w:t>
      </w:r>
      <w:r w:rsidR="00C51220" w:rsidRPr="00276DD8">
        <w:rPr>
          <w:rFonts w:ascii="Arial Narrow" w:hAnsi="Arial Narrow" w:cs="Tahoma"/>
          <w:sz w:val="22"/>
        </w:rPr>
        <w:t xml:space="preserve"> </w:t>
      </w:r>
      <w:r w:rsidRPr="00276DD8">
        <w:rPr>
          <w:rFonts w:ascii="Arial Narrow" w:hAnsi="Arial Narrow" w:cs="Tahoma"/>
          <w:sz w:val="22"/>
        </w:rPr>
        <w:t>0.</w:t>
      </w:r>
      <w:r w:rsidR="00C51220" w:rsidRPr="00276DD8">
        <w:rPr>
          <w:rFonts w:ascii="Arial Narrow" w:hAnsi="Arial Narrow" w:cs="Tahoma"/>
          <w:sz w:val="22"/>
        </w:rPr>
        <w:t>3%</w:t>
      </w:r>
      <w:r w:rsidRPr="00276DD8">
        <w:rPr>
          <w:rFonts w:ascii="Arial Narrow" w:hAnsi="Arial Narrow" w:cs="Tahoma"/>
          <w:sz w:val="22"/>
        </w:rPr>
        <w:t xml:space="preserve"> higher</w:t>
      </w:r>
      <w:r w:rsidR="00C51220" w:rsidRPr="00276DD8">
        <w:rPr>
          <w:rFonts w:ascii="Arial Narrow" w:hAnsi="Arial Narrow" w:cs="Tahoma"/>
          <w:sz w:val="22"/>
        </w:rPr>
        <w:t xml:space="preserve">. </w:t>
      </w:r>
      <w:r w:rsidR="004407CB" w:rsidRPr="00276DD8">
        <w:rPr>
          <w:rFonts w:ascii="Arial Narrow" w:hAnsi="Arial Narrow" w:cs="Tahoma"/>
          <w:sz w:val="22"/>
        </w:rPr>
        <w:t xml:space="preserve">Number of employees in industry in the period January-September </w:t>
      </w:r>
      <w:r w:rsidR="00276DD8">
        <w:rPr>
          <w:rFonts w:ascii="Arial Narrow" w:hAnsi="Arial Narrow" w:cs="Tahoma"/>
          <w:sz w:val="22"/>
        </w:rPr>
        <w:t>2018</w:t>
      </w:r>
      <w:bookmarkStart w:id="0" w:name="_GoBack"/>
      <w:bookmarkEnd w:id="0"/>
      <w:r w:rsidR="00C51220" w:rsidRPr="00276DD8">
        <w:rPr>
          <w:rFonts w:ascii="Arial Narrow" w:hAnsi="Arial Narrow" w:cs="Tahoma"/>
          <w:sz w:val="22"/>
        </w:rPr>
        <w:t xml:space="preserve">, </w:t>
      </w:r>
      <w:r w:rsidR="00C56A9C" w:rsidRPr="00276DD8">
        <w:rPr>
          <w:rFonts w:ascii="Arial Narrow" w:hAnsi="Arial Narrow" w:cs="Tahoma"/>
          <w:sz w:val="22"/>
        </w:rPr>
        <w:t>compared to the same peri</w:t>
      </w:r>
      <w:r w:rsidR="00C56A9C" w:rsidRPr="00276DD8">
        <w:rPr>
          <w:rFonts w:ascii="Arial Narrow" w:hAnsi="Arial Narrow" w:cs="Tahoma"/>
          <w:sz w:val="22"/>
        </w:rPr>
        <w:t>od of the previous year, was 2</w:t>
      </w:r>
      <w:r w:rsidR="00C56A9C" w:rsidRPr="00276DD8">
        <w:rPr>
          <w:rFonts w:ascii="Arial Narrow" w:hAnsi="Arial Narrow" w:cs="Tahoma"/>
          <w:sz w:val="22"/>
        </w:rPr>
        <w:t>.2% higher. During the same period, in the section</w:t>
      </w:r>
      <w:r w:rsidR="00C56A9C" w:rsidRPr="00276DD8">
        <w:rPr>
          <w:rFonts w:ascii="Arial Narrow" w:hAnsi="Arial Narrow" w:cs="Tahoma"/>
          <w:sz w:val="22"/>
          <w:szCs w:val="22"/>
        </w:rPr>
        <w:t xml:space="preserve"> </w:t>
      </w:r>
      <w:r w:rsidR="00C56A9C" w:rsidRPr="00276DD8">
        <w:rPr>
          <w:rFonts w:ascii="Arial Narrow" w:hAnsi="Arial Narrow" w:cs="Tahoma"/>
          <w:i/>
          <w:sz w:val="22"/>
        </w:rPr>
        <w:t>Electricity, gas, steam and air-conditioning suppl</w:t>
      </w:r>
      <w:r w:rsidR="00C56A9C" w:rsidRPr="00276DD8">
        <w:rPr>
          <w:rFonts w:ascii="Arial Narrow" w:hAnsi="Arial Narrow" w:cs="Tahoma"/>
          <w:i/>
          <w:sz w:val="22"/>
        </w:rPr>
        <w:t xml:space="preserve">y </w:t>
      </w:r>
      <w:r w:rsidR="00C56A9C" w:rsidRPr="00276DD8">
        <w:rPr>
          <w:rFonts w:ascii="Arial Narrow" w:hAnsi="Arial Narrow" w:cs="Tahoma"/>
          <w:sz w:val="22"/>
        </w:rPr>
        <w:t>an increase by 3.</w:t>
      </w:r>
      <w:r w:rsidR="00C51220" w:rsidRPr="00276DD8">
        <w:rPr>
          <w:rFonts w:ascii="Arial Narrow" w:hAnsi="Arial Narrow" w:cs="Tahoma"/>
          <w:sz w:val="22"/>
        </w:rPr>
        <w:t>2%</w:t>
      </w:r>
      <w:r w:rsidR="00C56A9C" w:rsidRPr="00276DD8">
        <w:rPr>
          <w:rFonts w:ascii="Arial Narrow" w:hAnsi="Arial Narrow" w:cs="Tahoma"/>
          <w:sz w:val="22"/>
        </w:rPr>
        <w:t xml:space="preserve"> was recorded and in the section </w:t>
      </w:r>
      <w:r w:rsidR="00C56A9C" w:rsidRPr="00276DD8">
        <w:rPr>
          <w:rFonts w:ascii="Arial Narrow" w:hAnsi="Arial Narrow" w:cs="Tahoma"/>
          <w:i/>
          <w:sz w:val="22"/>
        </w:rPr>
        <w:t>Manufacturing</w:t>
      </w:r>
      <w:r w:rsidR="00C51220" w:rsidRPr="00276DD8">
        <w:rPr>
          <w:rFonts w:ascii="Arial Narrow" w:hAnsi="Arial Narrow" w:cs="Tahoma"/>
          <w:sz w:val="22"/>
        </w:rPr>
        <w:t xml:space="preserve"> </w:t>
      </w:r>
      <w:r w:rsidR="00C56A9C" w:rsidRPr="00276DD8">
        <w:rPr>
          <w:rFonts w:ascii="Arial Narrow" w:hAnsi="Arial Narrow" w:cs="Tahoma"/>
          <w:sz w:val="22"/>
        </w:rPr>
        <w:t>an increase by 2.</w:t>
      </w:r>
      <w:r w:rsidR="00C51220" w:rsidRPr="00276DD8">
        <w:rPr>
          <w:rFonts w:ascii="Arial Narrow" w:hAnsi="Arial Narrow" w:cs="Tahoma"/>
          <w:sz w:val="22"/>
        </w:rPr>
        <w:t xml:space="preserve">5%, </w:t>
      </w:r>
      <w:r w:rsidR="00C56A9C" w:rsidRPr="00276DD8">
        <w:rPr>
          <w:rFonts w:ascii="Arial Narrow" w:hAnsi="Arial Narrow" w:cs="Tahoma"/>
          <w:sz w:val="22"/>
        </w:rPr>
        <w:t>while in the section</w:t>
      </w:r>
      <w:r w:rsidR="00C51220" w:rsidRPr="00276DD8">
        <w:rPr>
          <w:rFonts w:ascii="Arial Narrow" w:hAnsi="Arial Narrow" w:cs="Tahoma"/>
          <w:sz w:val="22"/>
        </w:rPr>
        <w:t xml:space="preserve"> </w:t>
      </w:r>
      <w:r w:rsidR="00C56A9C" w:rsidRPr="00276DD8">
        <w:rPr>
          <w:rFonts w:ascii="Arial Narrow" w:hAnsi="Arial Narrow" w:cs="Tahoma"/>
          <w:i/>
          <w:sz w:val="22"/>
        </w:rPr>
        <w:t>Mining and quarrying</w:t>
      </w:r>
      <w:r w:rsidR="00C51220" w:rsidRPr="00276DD8">
        <w:rPr>
          <w:rFonts w:ascii="Arial Narrow" w:hAnsi="Arial Narrow" w:cs="Tahoma"/>
          <w:i/>
          <w:sz w:val="22"/>
        </w:rPr>
        <w:t xml:space="preserve"> </w:t>
      </w:r>
      <w:r w:rsidR="00C56A9C" w:rsidRPr="00276DD8">
        <w:rPr>
          <w:rFonts w:ascii="Arial Narrow" w:hAnsi="Arial Narrow" w:cs="Tahoma"/>
          <w:sz w:val="22"/>
        </w:rPr>
        <w:t>a decrease by 1.</w:t>
      </w:r>
      <w:r w:rsidR="00C51220" w:rsidRPr="00276DD8">
        <w:rPr>
          <w:rFonts w:ascii="Arial Narrow" w:hAnsi="Arial Narrow" w:cs="Tahoma"/>
          <w:sz w:val="22"/>
        </w:rPr>
        <w:t>5%</w:t>
      </w:r>
      <w:r w:rsidR="00C56A9C" w:rsidRPr="00276DD8">
        <w:rPr>
          <w:rFonts w:ascii="Arial Narrow" w:hAnsi="Arial Narrow" w:cs="Tahoma"/>
          <w:sz w:val="22"/>
        </w:rPr>
        <w:t xml:space="preserve"> was recorded</w:t>
      </w:r>
      <w:r w:rsidR="00C51220" w:rsidRPr="00276DD8">
        <w:rPr>
          <w:rFonts w:ascii="Arial Narrow" w:hAnsi="Arial Narrow" w:cs="Tahoma"/>
          <w:sz w:val="22"/>
        </w:rPr>
        <w:t>.</w:t>
      </w:r>
    </w:p>
    <w:p w:rsidR="000213F8" w:rsidRPr="00276DD8" w:rsidRDefault="000213F8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2E27E1" w:rsidRPr="00276DD8" w:rsidRDefault="00F54F60" w:rsidP="009A0B74">
      <w:pPr>
        <w:jc w:val="both"/>
        <w:rPr>
          <w:rFonts w:ascii="Arial Narrow" w:hAnsi="Arial Narrow" w:cs="Tahoma"/>
          <w:sz w:val="22"/>
          <w:szCs w:val="22"/>
        </w:rPr>
      </w:pPr>
      <w:r w:rsidRPr="00276DD8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69DB0E" wp14:editId="57058CB7">
                <wp:simplePos x="0" y="0"/>
                <wp:positionH relativeFrom="margin">
                  <wp:posOffset>3776869</wp:posOffset>
                </wp:positionH>
                <wp:positionV relativeFrom="paragraph">
                  <wp:posOffset>2682654</wp:posOffset>
                </wp:positionV>
                <wp:extent cx="665683" cy="285750"/>
                <wp:effectExtent l="0" t="0" r="127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83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4F60" w:rsidRPr="0006678E" w:rsidRDefault="00F54F60" w:rsidP="00F54F60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9DB0E" id="Text Box 27" o:spid="_x0000_s1029" type="#_x0000_t202" style="position:absolute;left:0;text-align:left;margin-left:297.4pt;margin-top:211.25pt;width:52.4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" fillcolor="window" stroked="f" strokeweight=".5pt">
                <v:textbox>
                  <w:txbxContent>
                    <w:p w:rsidR="00F54F60" w:rsidRPr="0006678E" w:rsidRDefault="00F54F60" w:rsidP="00F54F60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6DD8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9CBF34" wp14:editId="385FF0BA">
                <wp:simplePos x="0" y="0"/>
                <wp:positionH relativeFrom="margin">
                  <wp:posOffset>2472856</wp:posOffset>
                </wp:positionH>
                <wp:positionV relativeFrom="paragraph">
                  <wp:posOffset>2660705</wp:posOffset>
                </wp:positionV>
                <wp:extent cx="950976" cy="307238"/>
                <wp:effectExtent l="0" t="0" r="190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976" cy="3072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4F60" w:rsidRPr="0006678E" w:rsidRDefault="00F54F60" w:rsidP="00F54F60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06678E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Seasonally-adjusted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CBF34" id="Text Box 25" o:spid="_x0000_s1030" type="#_x0000_t202" style="position:absolute;left:0;text-align:left;margin-left:194.7pt;margin-top:209.5pt;width:74.9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" fillcolor="window" stroked="f" strokeweight=".5pt">
                <v:textbox>
                  <w:txbxContent>
                    <w:p w:rsidR="00F54F60" w:rsidRPr="0006678E" w:rsidRDefault="00F54F60" w:rsidP="00F54F60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06678E">
                        <w:rPr>
                          <w:rFonts w:ascii="Arial Narrow" w:hAnsi="Arial Narrow"/>
                          <w:sz w:val="14"/>
                          <w:szCs w:val="14"/>
                        </w:rPr>
                        <w:t>Seasonally-adjusted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C3F" w:rsidRPr="00276D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1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NwjQ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6YVSy+AFVQ71IWHtrOC49cKH++GhXjP&#10;PLYSSgHHQ7zDj9SA5EO3omQN/vdb5wmPCkcrJTW2ZknDrw3zghL9zaL2z0eTSerlvJmcfh7jxh9b&#10;VscWuzFLQEWMcBA5npcJH3W/lB7ME06RRcqKJmY55i5p7JfL2A4MnEJcLBYZhN3rWLyxD46n0Inl&#10;JM3H5ol51+k3ovJvoW9iNnsl4xabPC0sNhGkyhpPPLesdvxj52fpd1MqjZbjfUYdZun8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CnzcI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  <w:r w:rsidR="00C51220" w:rsidRPr="00276DD8">
        <w:rPr>
          <w:noProof/>
        </w:rPr>
        <w:drawing>
          <wp:inline distT="0" distB="0" distL="0" distR="0" wp14:anchorId="4D111DA4" wp14:editId="24AAF96B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276DD8" w:rsidRDefault="00F54F60" w:rsidP="002E27E1">
      <w:pPr>
        <w:jc w:val="center"/>
        <w:rPr>
          <w:rFonts w:ascii="Arial Narrow" w:hAnsi="Arial Narrow" w:cs="Tahoma"/>
          <w:sz w:val="16"/>
          <w:szCs w:val="16"/>
        </w:rPr>
      </w:pPr>
      <w:r w:rsidRPr="00276DD8">
        <w:rPr>
          <w:rFonts w:ascii="Arial Narrow" w:hAnsi="Arial Narrow" w:cs="Tahoma"/>
          <w:sz w:val="16"/>
          <w:szCs w:val="16"/>
        </w:rPr>
        <w:t>Graph</w:t>
      </w:r>
      <w:r w:rsidR="002E27E1" w:rsidRPr="00276DD8">
        <w:rPr>
          <w:rFonts w:ascii="Arial Narrow" w:hAnsi="Arial Narrow" w:cs="Tahoma"/>
          <w:sz w:val="16"/>
          <w:szCs w:val="16"/>
        </w:rPr>
        <w:t xml:space="preserve"> 3. </w:t>
      </w:r>
      <w:r w:rsidRPr="00276DD8">
        <w:rPr>
          <w:rFonts w:ascii="Arial Narrow" w:hAnsi="Arial Narrow" w:cs="Tahoma"/>
          <w:sz w:val="16"/>
          <w:szCs w:val="16"/>
        </w:rPr>
        <w:t>Industrial production indices</w:t>
      </w:r>
      <w:r w:rsidR="002E27E1" w:rsidRPr="00276DD8">
        <w:rPr>
          <w:rFonts w:ascii="Arial Narrow" w:hAnsi="Arial Narrow" w:cs="Tahoma"/>
          <w:sz w:val="16"/>
          <w:szCs w:val="16"/>
        </w:rPr>
        <w:t xml:space="preserve">, </w:t>
      </w:r>
      <w:r w:rsidR="00277108" w:rsidRPr="00276DD8">
        <w:rPr>
          <w:rFonts w:ascii="Arial Narrow" w:hAnsi="Arial Narrow" w:cs="Tahoma"/>
          <w:sz w:val="16"/>
          <w:szCs w:val="16"/>
        </w:rPr>
        <w:t>September</w:t>
      </w:r>
      <w:r w:rsidR="002E27E1" w:rsidRPr="00276DD8">
        <w:rPr>
          <w:rFonts w:ascii="Arial Narrow" w:hAnsi="Arial Narrow" w:cs="Tahoma"/>
          <w:sz w:val="16"/>
          <w:szCs w:val="16"/>
        </w:rPr>
        <w:t xml:space="preserve"> 201</w:t>
      </w:r>
      <w:r w:rsidR="002F0C3F" w:rsidRPr="00276DD8">
        <w:rPr>
          <w:rFonts w:ascii="Arial Narrow" w:hAnsi="Arial Narrow" w:cs="Tahoma"/>
          <w:sz w:val="16"/>
          <w:szCs w:val="16"/>
        </w:rPr>
        <w:t>4</w:t>
      </w:r>
      <w:r w:rsidR="002E27E1" w:rsidRPr="00276DD8">
        <w:rPr>
          <w:rFonts w:ascii="Arial Narrow" w:hAnsi="Arial Narrow" w:cs="Tahoma"/>
          <w:sz w:val="16"/>
          <w:szCs w:val="16"/>
        </w:rPr>
        <w:t xml:space="preserve"> – </w:t>
      </w:r>
      <w:r w:rsidR="00277108" w:rsidRPr="00276DD8">
        <w:rPr>
          <w:rFonts w:ascii="Arial Narrow" w:hAnsi="Arial Narrow" w:cs="Tahoma"/>
          <w:sz w:val="16"/>
          <w:szCs w:val="16"/>
        </w:rPr>
        <w:t>September</w:t>
      </w:r>
      <w:r w:rsidR="002E27E1" w:rsidRPr="00276DD8">
        <w:rPr>
          <w:rFonts w:ascii="Arial Narrow" w:hAnsi="Arial Narrow" w:cs="Tahoma"/>
          <w:sz w:val="16"/>
          <w:szCs w:val="16"/>
        </w:rPr>
        <w:t xml:space="preserve"> 201</w:t>
      </w:r>
      <w:r w:rsidR="002F0C3F" w:rsidRPr="00276DD8">
        <w:rPr>
          <w:rFonts w:ascii="Arial Narrow" w:hAnsi="Arial Narrow" w:cs="Tahoma"/>
          <w:sz w:val="16"/>
          <w:szCs w:val="16"/>
        </w:rPr>
        <w:t>8</w:t>
      </w:r>
      <w:r w:rsidR="002E27E1" w:rsidRPr="00276DD8">
        <w:rPr>
          <w:rFonts w:ascii="Arial Narrow" w:hAnsi="Arial Narrow" w:cs="Tahoma"/>
          <w:sz w:val="16"/>
          <w:szCs w:val="16"/>
        </w:rPr>
        <w:t xml:space="preserve"> (</w:t>
      </w:r>
      <w:r w:rsidR="002E27E1" w:rsidRPr="00276DD8">
        <w:rPr>
          <w:rFonts w:ascii="Arial Narrow" w:hAnsi="Arial Narrow" w:cs="Tahoma"/>
          <w:sz w:val="16"/>
          <w:szCs w:val="16"/>
        </w:rPr>
        <w:sym w:font="Symbol" w:char="F0C6"/>
      </w:r>
      <w:r w:rsidR="002E27E1" w:rsidRPr="00276DD8">
        <w:rPr>
          <w:rFonts w:ascii="Arial Narrow" w:hAnsi="Arial Narrow" w:cs="Tahoma"/>
          <w:sz w:val="16"/>
          <w:szCs w:val="16"/>
        </w:rPr>
        <w:t>201</w:t>
      </w:r>
      <w:r w:rsidR="0088675D" w:rsidRPr="00276DD8">
        <w:rPr>
          <w:rFonts w:ascii="Arial Narrow" w:hAnsi="Arial Narrow" w:cs="Tahoma"/>
          <w:sz w:val="16"/>
          <w:szCs w:val="16"/>
        </w:rPr>
        <w:t>5</w:t>
      </w:r>
      <w:r w:rsidR="002E27E1" w:rsidRPr="00276DD8">
        <w:rPr>
          <w:rFonts w:ascii="Arial Narrow" w:hAnsi="Arial Narrow" w:cs="Tahoma"/>
          <w:sz w:val="16"/>
          <w:szCs w:val="16"/>
        </w:rPr>
        <w:t>=100)</w:t>
      </w:r>
    </w:p>
    <w:p w:rsidR="002E27E1" w:rsidRPr="00276DD8" w:rsidRDefault="002E27E1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AC7730" w:rsidRPr="00276DD8" w:rsidRDefault="00AC7730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4A5E15" w:rsidRPr="00276DD8" w:rsidRDefault="00C56A9C" w:rsidP="004A5E15">
      <w:pPr>
        <w:rPr>
          <w:rFonts w:ascii="Arial Narrow" w:hAnsi="Arial Narrow" w:cs="Tahoma"/>
          <w:b/>
          <w:sz w:val="30"/>
          <w:szCs w:val="30"/>
        </w:rPr>
      </w:pPr>
      <w:r w:rsidRPr="00276DD8">
        <w:rPr>
          <w:rFonts w:ascii="Arial Narrow" w:hAnsi="Arial Narrow" w:cs="Tahoma"/>
          <w:b/>
          <w:sz w:val="30"/>
          <w:szCs w:val="30"/>
        </w:rPr>
        <w:t xml:space="preserve">Coverage of import with export (in the period January-September </w:t>
      </w:r>
      <w:r w:rsidR="004A5E15" w:rsidRPr="00276DD8">
        <w:rPr>
          <w:rFonts w:ascii="Arial Narrow" w:hAnsi="Arial Narrow" w:cs="Tahoma"/>
          <w:b/>
          <w:sz w:val="30"/>
          <w:szCs w:val="30"/>
        </w:rPr>
        <w:t>2018)</w:t>
      </w:r>
      <w:r w:rsidR="00B16936" w:rsidRPr="00276DD8">
        <w:rPr>
          <w:rFonts w:ascii="Arial Narrow" w:hAnsi="Arial Narrow" w:cs="Tahoma"/>
          <w:b/>
          <w:sz w:val="30"/>
          <w:szCs w:val="30"/>
        </w:rPr>
        <w:t xml:space="preserve"> 7</w:t>
      </w:r>
      <w:r w:rsidR="005A6D75" w:rsidRPr="00276DD8">
        <w:rPr>
          <w:rFonts w:ascii="Arial Narrow" w:hAnsi="Arial Narrow" w:cs="Tahoma"/>
          <w:b/>
          <w:sz w:val="30"/>
          <w:szCs w:val="30"/>
        </w:rPr>
        <w:t>0</w:t>
      </w:r>
      <w:r w:rsidRPr="00276DD8">
        <w:rPr>
          <w:rFonts w:ascii="Arial Narrow" w:hAnsi="Arial Narrow" w:cs="Tahoma"/>
          <w:b/>
          <w:sz w:val="30"/>
          <w:szCs w:val="30"/>
        </w:rPr>
        <w:t>.</w:t>
      </w:r>
      <w:r w:rsidR="005A6D75" w:rsidRPr="00276DD8">
        <w:rPr>
          <w:rFonts w:ascii="Arial Narrow" w:hAnsi="Arial Narrow" w:cs="Tahoma"/>
          <w:b/>
          <w:sz w:val="30"/>
          <w:szCs w:val="30"/>
        </w:rPr>
        <w:t>7</w:t>
      </w:r>
      <w:r w:rsidR="004A5E15" w:rsidRPr="00276DD8">
        <w:rPr>
          <w:rFonts w:ascii="Arial Narrow" w:hAnsi="Arial Narrow" w:cs="Tahoma"/>
          <w:b/>
          <w:sz w:val="30"/>
          <w:szCs w:val="30"/>
        </w:rPr>
        <w:t xml:space="preserve">% </w:t>
      </w:r>
    </w:p>
    <w:p w:rsidR="004A5E15" w:rsidRPr="00276DD8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309B9" w:rsidRPr="00276DD8" w:rsidRDefault="009309B9" w:rsidP="004A5E15">
      <w:pPr>
        <w:jc w:val="both"/>
        <w:rPr>
          <w:rFonts w:ascii="Arial Narrow" w:hAnsi="Arial Narrow" w:cs="Tahoma"/>
          <w:sz w:val="22"/>
        </w:rPr>
      </w:pPr>
      <w:r w:rsidRPr="00276DD8">
        <w:rPr>
          <w:rFonts w:ascii="Arial Narrow" w:hAnsi="Arial Narrow" w:cs="Tahoma"/>
          <w:sz w:val="22"/>
        </w:rPr>
        <w:t>In September 2018, the value of export was 312 million KM and the value of import was 455 million KM.</w:t>
      </w:r>
    </w:p>
    <w:p w:rsidR="009309B9" w:rsidRPr="00276DD8" w:rsidRDefault="009309B9" w:rsidP="004A5E15">
      <w:pPr>
        <w:jc w:val="both"/>
        <w:rPr>
          <w:rFonts w:ascii="Arial Narrow" w:hAnsi="Arial Narrow" w:cs="Tahoma"/>
          <w:sz w:val="22"/>
        </w:rPr>
      </w:pPr>
    </w:p>
    <w:p w:rsidR="009309B9" w:rsidRPr="00276DD8" w:rsidRDefault="009309B9" w:rsidP="009309B9">
      <w:pPr>
        <w:jc w:val="both"/>
        <w:rPr>
          <w:rFonts w:ascii="Arial Narrow" w:hAnsi="Arial Narrow" w:cs="Tahoma"/>
          <w:sz w:val="22"/>
        </w:rPr>
      </w:pPr>
      <w:r w:rsidRPr="00276DD8">
        <w:rPr>
          <w:rFonts w:ascii="Arial Narrow" w:hAnsi="Arial Narrow" w:cs="Tahoma"/>
          <w:sz w:val="22"/>
        </w:rPr>
        <w:t xml:space="preserve">In the total external trade of Republika Srpska in September </w:t>
      </w:r>
      <w:r w:rsidRPr="00276DD8">
        <w:rPr>
          <w:rFonts w:ascii="Arial Narrow" w:hAnsi="Arial Narrow" w:cs="Tahoma"/>
          <w:sz w:val="22"/>
        </w:rPr>
        <w:t>2018</w:t>
      </w:r>
      <w:r w:rsidRPr="00276DD8">
        <w:rPr>
          <w:rFonts w:ascii="Arial Narrow" w:hAnsi="Arial Narrow" w:cs="Tahoma"/>
          <w:sz w:val="22"/>
        </w:rPr>
        <w:t xml:space="preserve">, the percentage of coverage of import with export was </w:t>
      </w:r>
      <w:r w:rsidRPr="00276DD8">
        <w:rPr>
          <w:rFonts w:ascii="Arial Narrow" w:hAnsi="Arial Narrow" w:cs="Tahoma"/>
          <w:sz w:val="22"/>
        </w:rPr>
        <w:t>68.5</w:t>
      </w:r>
      <w:r w:rsidRPr="00276DD8">
        <w:rPr>
          <w:rFonts w:ascii="Arial Narrow" w:hAnsi="Arial Narrow" w:cs="Tahoma"/>
          <w:sz w:val="22"/>
        </w:rPr>
        <w:t xml:space="preserve">%. The percentage of coverage of import with export for the period January – </w:t>
      </w:r>
      <w:r w:rsidRPr="00276DD8">
        <w:rPr>
          <w:rFonts w:ascii="Arial Narrow" w:hAnsi="Arial Narrow" w:cs="Tahoma"/>
          <w:sz w:val="22"/>
        </w:rPr>
        <w:t>September 2018</w:t>
      </w:r>
      <w:r w:rsidRPr="00276DD8">
        <w:rPr>
          <w:rFonts w:ascii="Arial Narrow" w:hAnsi="Arial Narrow" w:cs="Tahoma"/>
          <w:sz w:val="22"/>
        </w:rPr>
        <w:t xml:space="preserve"> was </w:t>
      </w:r>
      <w:r w:rsidRPr="00276DD8">
        <w:rPr>
          <w:rFonts w:ascii="Arial Narrow" w:hAnsi="Arial Narrow" w:cs="Tahoma"/>
          <w:sz w:val="22"/>
        </w:rPr>
        <w:t>70.7</w:t>
      </w:r>
      <w:r w:rsidRPr="00276DD8">
        <w:rPr>
          <w:rFonts w:ascii="Arial Narrow" w:hAnsi="Arial Narrow" w:cs="Tahoma"/>
          <w:sz w:val="22"/>
        </w:rPr>
        <w:t>%.</w:t>
      </w:r>
    </w:p>
    <w:p w:rsidR="009309B9" w:rsidRPr="00276DD8" w:rsidRDefault="009309B9" w:rsidP="004A5E15">
      <w:pPr>
        <w:jc w:val="both"/>
        <w:rPr>
          <w:rFonts w:ascii="Arial Narrow" w:hAnsi="Arial Narrow" w:cs="Tahoma"/>
          <w:sz w:val="22"/>
        </w:rPr>
      </w:pPr>
    </w:p>
    <w:p w:rsidR="004A5E15" w:rsidRPr="00276DD8" w:rsidRDefault="009309B9" w:rsidP="004A5E15">
      <w:pPr>
        <w:jc w:val="both"/>
        <w:rPr>
          <w:rFonts w:ascii="Arial Narrow" w:hAnsi="Arial Narrow" w:cs="Tahoma"/>
          <w:sz w:val="22"/>
        </w:rPr>
      </w:pPr>
      <w:r w:rsidRPr="00276DD8">
        <w:rPr>
          <w:rFonts w:ascii="Arial Narrow" w:hAnsi="Arial Narrow" w:cs="Tahoma"/>
          <w:sz w:val="22"/>
        </w:rPr>
        <w:t>In the period January – September</w:t>
      </w:r>
      <w:r w:rsidRPr="00276DD8">
        <w:rPr>
          <w:rFonts w:ascii="Arial Narrow" w:hAnsi="Arial Narrow" w:cs="Tahoma"/>
          <w:sz w:val="22"/>
        </w:rPr>
        <w:t xml:space="preserve"> 2018</w:t>
      </w:r>
      <w:r w:rsidRPr="00276DD8">
        <w:rPr>
          <w:rFonts w:ascii="Arial Narrow" w:hAnsi="Arial Narrow" w:cs="Tahoma"/>
          <w:sz w:val="22"/>
        </w:rPr>
        <w:t xml:space="preserve">, the value of export was two billion and </w:t>
      </w:r>
      <w:r w:rsidRPr="00276DD8">
        <w:rPr>
          <w:rFonts w:ascii="Arial Narrow" w:hAnsi="Arial Narrow" w:cs="Tahoma"/>
          <w:sz w:val="22"/>
        </w:rPr>
        <w:t>762</w:t>
      </w:r>
      <w:r w:rsidRPr="00276DD8">
        <w:rPr>
          <w:rFonts w:ascii="Arial Narrow" w:hAnsi="Arial Narrow" w:cs="Tahoma"/>
          <w:sz w:val="22"/>
        </w:rPr>
        <w:t xml:space="preserve"> million KM, which represented an increase by </w:t>
      </w:r>
      <w:r w:rsidRPr="00276DD8">
        <w:rPr>
          <w:rFonts w:ascii="Arial Narrow" w:hAnsi="Arial Narrow" w:cs="Tahoma"/>
          <w:sz w:val="22"/>
        </w:rPr>
        <w:t>8.9</w:t>
      </w:r>
      <w:r w:rsidRPr="00276DD8">
        <w:rPr>
          <w:rFonts w:ascii="Arial Narrow" w:hAnsi="Arial Narrow" w:cs="Tahoma"/>
          <w:sz w:val="22"/>
        </w:rPr>
        <w:t xml:space="preserve">% compared to the same period of the previous year. During the same period, the value of import was three billion and </w:t>
      </w:r>
      <w:r w:rsidRPr="00276DD8">
        <w:rPr>
          <w:rFonts w:ascii="Arial Narrow" w:hAnsi="Arial Narrow" w:cs="Tahoma"/>
          <w:sz w:val="22"/>
        </w:rPr>
        <w:t>907</w:t>
      </w:r>
      <w:r w:rsidRPr="00276DD8">
        <w:rPr>
          <w:rFonts w:ascii="Arial Narrow" w:hAnsi="Arial Narrow" w:cs="Tahoma"/>
          <w:sz w:val="22"/>
        </w:rPr>
        <w:t xml:space="preserve"> million KM, which represented an increase by </w:t>
      </w:r>
      <w:r w:rsidRPr="00276DD8">
        <w:rPr>
          <w:rFonts w:ascii="Arial Narrow" w:hAnsi="Arial Narrow" w:cs="Tahoma"/>
          <w:sz w:val="22"/>
        </w:rPr>
        <w:t>8.8</w:t>
      </w:r>
      <w:r w:rsidRPr="00276DD8">
        <w:rPr>
          <w:rFonts w:ascii="Arial Narrow" w:hAnsi="Arial Narrow" w:cs="Tahoma"/>
          <w:sz w:val="22"/>
        </w:rPr>
        <w:t>% compared to the same period of the previous year.</w:t>
      </w:r>
    </w:p>
    <w:p w:rsidR="009309B9" w:rsidRPr="00276DD8" w:rsidRDefault="009309B9" w:rsidP="004A5E15">
      <w:pPr>
        <w:jc w:val="both"/>
        <w:rPr>
          <w:rFonts w:ascii="Arial Narrow" w:hAnsi="Arial Narrow" w:cs="Tahoma"/>
          <w:sz w:val="22"/>
        </w:rPr>
      </w:pPr>
    </w:p>
    <w:p w:rsidR="009309B9" w:rsidRPr="00276DD8" w:rsidRDefault="009309B9" w:rsidP="009309B9">
      <w:pPr>
        <w:jc w:val="both"/>
        <w:rPr>
          <w:rFonts w:ascii="Arial Narrow" w:hAnsi="Arial Narrow" w:cs="Tahoma"/>
          <w:sz w:val="22"/>
        </w:rPr>
      </w:pPr>
      <w:r w:rsidRPr="00276DD8">
        <w:rPr>
          <w:rFonts w:ascii="Arial Narrow" w:hAnsi="Arial Narrow" w:cs="Tahoma"/>
          <w:sz w:val="22"/>
        </w:rPr>
        <w:t>In terms of the geographical distribution of external trade of Republika Srpska, in the period January – September</w:t>
      </w:r>
      <w:r w:rsidRPr="00276DD8">
        <w:rPr>
          <w:rFonts w:ascii="Arial Narrow" w:hAnsi="Arial Narrow" w:cs="Tahoma"/>
          <w:sz w:val="22"/>
        </w:rPr>
        <w:t xml:space="preserve"> 2018</w:t>
      </w:r>
      <w:r w:rsidRPr="00276DD8">
        <w:rPr>
          <w:rFonts w:ascii="Arial Narrow" w:hAnsi="Arial Narrow" w:cs="Tahoma"/>
          <w:sz w:val="22"/>
        </w:rPr>
        <w:t xml:space="preserve">, the highest value of export was that of export to Italy, with </w:t>
      </w:r>
      <w:r w:rsidRPr="00276DD8">
        <w:rPr>
          <w:rFonts w:ascii="Arial Narrow" w:hAnsi="Arial Narrow" w:cs="Tahoma"/>
          <w:sz w:val="22"/>
        </w:rPr>
        <w:t>416 million KM or 15.1</w:t>
      </w:r>
      <w:r w:rsidRPr="00276DD8">
        <w:rPr>
          <w:rFonts w:ascii="Arial Narrow" w:hAnsi="Arial Narrow" w:cs="Tahoma"/>
          <w:sz w:val="22"/>
        </w:rPr>
        <w:t xml:space="preserve">%, followed by Croatia, with </w:t>
      </w:r>
      <w:r w:rsidRPr="00276DD8">
        <w:rPr>
          <w:rFonts w:ascii="Arial Narrow" w:hAnsi="Arial Narrow" w:cs="Tahoma"/>
          <w:sz w:val="22"/>
        </w:rPr>
        <w:t>363</w:t>
      </w:r>
      <w:r w:rsidRPr="00276DD8">
        <w:rPr>
          <w:rFonts w:ascii="Arial Narrow" w:hAnsi="Arial Narrow" w:cs="Tahoma"/>
          <w:sz w:val="22"/>
        </w:rPr>
        <w:t xml:space="preserve"> million KM or 13.2% of the total realised export. During the same period, the highest value of import was that of import form Serbia, with </w:t>
      </w:r>
      <w:r w:rsidRPr="00276DD8">
        <w:rPr>
          <w:rFonts w:ascii="Arial Narrow" w:hAnsi="Arial Narrow" w:cs="Tahoma"/>
          <w:sz w:val="22"/>
        </w:rPr>
        <w:t>640</w:t>
      </w:r>
      <w:r w:rsidRPr="00276DD8">
        <w:rPr>
          <w:rFonts w:ascii="Arial Narrow" w:hAnsi="Arial Narrow" w:cs="Tahoma"/>
          <w:sz w:val="22"/>
        </w:rPr>
        <w:t xml:space="preserve"> million KM or </w:t>
      </w:r>
      <w:r w:rsidRPr="00276DD8">
        <w:rPr>
          <w:rFonts w:ascii="Arial Narrow" w:hAnsi="Arial Narrow" w:cs="Tahoma"/>
          <w:sz w:val="22"/>
        </w:rPr>
        <w:t>16.4</w:t>
      </w:r>
      <w:r w:rsidRPr="00276DD8">
        <w:rPr>
          <w:rFonts w:ascii="Arial Narrow" w:hAnsi="Arial Narrow" w:cs="Tahoma"/>
          <w:sz w:val="22"/>
        </w:rPr>
        <w:t xml:space="preserve">%, followed by Russia, with </w:t>
      </w:r>
      <w:r w:rsidRPr="00276DD8">
        <w:rPr>
          <w:rFonts w:ascii="Arial Narrow" w:hAnsi="Arial Narrow" w:cs="Tahoma"/>
          <w:sz w:val="22"/>
        </w:rPr>
        <w:t>509</w:t>
      </w:r>
      <w:r w:rsidRPr="00276DD8">
        <w:rPr>
          <w:rFonts w:ascii="Arial Narrow" w:hAnsi="Arial Narrow" w:cs="Tahoma"/>
          <w:sz w:val="22"/>
        </w:rPr>
        <w:t xml:space="preserve"> million KM or </w:t>
      </w:r>
      <w:r w:rsidRPr="00276DD8">
        <w:rPr>
          <w:rFonts w:ascii="Arial Narrow" w:hAnsi="Arial Narrow" w:cs="Tahoma"/>
          <w:sz w:val="22"/>
        </w:rPr>
        <w:t>13.0</w:t>
      </w:r>
      <w:r w:rsidRPr="00276DD8">
        <w:rPr>
          <w:rFonts w:ascii="Arial Narrow" w:hAnsi="Arial Narrow" w:cs="Tahoma"/>
          <w:sz w:val="22"/>
        </w:rPr>
        <w:t>% of the total realised import.</w:t>
      </w:r>
    </w:p>
    <w:p w:rsidR="004A5E15" w:rsidRPr="00276DD8" w:rsidRDefault="004A5E15" w:rsidP="004A5E15">
      <w:pPr>
        <w:jc w:val="both"/>
        <w:rPr>
          <w:rFonts w:ascii="Arial Narrow" w:hAnsi="Arial Narrow" w:cs="Tahoma"/>
          <w:sz w:val="22"/>
          <w:szCs w:val="22"/>
        </w:rPr>
      </w:pPr>
    </w:p>
    <w:p w:rsidR="004A5E15" w:rsidRPr="00276DD8" w:rsidRDefault="009309B9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276DD8">
        <w:rPr>
          <w:rFonts w:ascii="Arial Narrow" w:hAnsi="Arial Narrow" w:cs="Tahoma"/>
          <w:sz w:val="22"/>
        </w:rPr>
        <w:t>By group of products, in the period January – September</w:t>
      </w:r>
      <w:r w:rsidRPr="00276DD8">
        <w:rPr>
          <w:rFonts w:ascii="Arial Narrow" w:hAnsi="Arial Narrow" w:cs="Tahoma"/>
          <w:sz w:val="22"/>
        </w:rPr>
        <w:t xml:space="preserve"> 2018</w:t>
      </w:r>
      <w:r w:rsidRPr="00276DD8">
        <w:rPr>
          <w:rFonts w:ascii="Arial Narrow" w:hAnsi="Arial Narrow" w:cs="Tahoma"/>
          <w:sz w:val="22"/>
        </w:rPr>
        <w:t xml:space="preserve">, the highest share in export was that of electricity, with the total value of </w:t>
      </w:r>
      <w:r w:rsidRPr="00276DD8">
        <w:rPr>
          <w:rFonts w:ascii="Arial Narrow" w:hAnsi="Arial Narrow" w:cs="Tahoma"/>
          <w:sz w:val="22"/>
        </w:rPr>
        <w:t>232</w:t>
      </w:r>
      <w:r w:rsidRPr="00276DD8">
        <w:rPr>
          <w:rFonts w:ascii="Arial Narrow" w:hAnsi="Arial Narrow" w:cs="Tahoma"/>
          <w:sz w:val="22"/>
        </w:rPr>
        <w:t xml:space="preserve"> million KM, which was </w:t>
      </w:r>
      <w:r w:rsidRPr="00276DD8">
        <w:rPr>
          <w:rFonts w:ascii="Arial Narrow" w:hAnsi="Arial Narrow" w:cs="Tahoma"/>
          <w:sz w:val="22"/>
        </w:rPr>
        <w:t>8.4</w:t>
      </w:r>
      <w:r w:rsidRPr="00276DD8">
        <w:rPr>
          <w:rFonts w:ascii="Arial Narrow" w:hAnsi="Arial Narrow" w:cs="Tahoma"/>
          <w:sz w:val="22"/>
        </w:rPr>
        <w:t xml:space="preserve">% of the total export, while the highest share in import was that of petroleum and oils obtained from bituminous minerals (crude), with the total value of </w:t>
      </w:r>
      <w:r w:rsidRPr="00276DD8">
        <w:rPr>
          <w:rFonts w:ascii="Arial Narrow" w:hAnsi="Arial Narrow" w:cs="Tahoma"/>
          <w:sz w:val="22"/>
        </w:rPr>
        <w:t>517</w:t>
      </w:r>
      <w:r w:rsidRPr="00276DD8">
        <w:rPr>
          <w:rFonts w:ascii="Arial Narrow" w:hAnsi="Arial Narrow" w:cs="Tahoma"/>
          <w:sz w:val="22"/>
        </w:rPr>
        <w:t xml:space="preserve"> million KM, which was </w:t>
      </w:r>
      <w:r w:rsidRPr="00276DD8">
        <w:rPr>
          <w:rFonts w:ascii="Arial Narrow" w:hAnsi="Arial Narrow" w:cs="Tahoma"/>
          <w:sz w:val="22"/>
        </w:rPr>
        <w:t>13.2</w:t>
      </w:r>
      <w:r w:rsidRPr="00276DD8">
        <w:rPr>
          <w:rFonts w:ascii="Arial Narrow" w:hAnsi="Arial Narrow" w:cs="Tahoma"/>
          <w:sz w:val="22"/>
        </w:rPr>
        <w:t>% of the total import</w:t>
      </w:r>
      <w:r w:rsidRPr="00276DD8">
        <w:rPr>
          <w:rFonts w:ascii="Arial Narrow" w:hAnsi="Arial Narrow" w:cs="Tahoma"/>
          <w:sz w:val="22"/>
        </w:rPr>
        <w:t>.</w:t>
      </w:r>
    </w:p>
    <w:p w:rsidR="003206D9" w:rsidRPr="00276DD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276DD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276DD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276DD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276DD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276DD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276DD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276DD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276DD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276DD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B948FB" w:rsidRPr="00276DD8" w:rsidRDefault="00B948F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276DD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276DD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276DD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276DD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276DD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276DD8" w:rsidRDefault="00525A9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276DD8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3776368</wp:posOffset>
                </wp:positionH>
                <wp:positionV relativeFrom="paragraph">
                  <wp:posOffset>44033</wp:posOffset>
                </wp:positionV>
                <wp:extent cx="704215" cy="250825"/>
                <wp:effectExtent l="0" t="0" r="635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F54F60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thous</w:t>
                            </w:r>
                            <w:r w:rsidR="00F257E5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 xml:space="preserve">. </w:t>
                            </w:r>
                            <w:r w:rsidR="00F257E5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left:0;text-align:left;margin-left:297.35pt;margin-top:3.45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9K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h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" stroked="f">
                <v:textbox>
                  <w:txbxContent>
                    <w:p w:rsidR="00F257E5" w:rsidRPr="000A1309" w:rsidRDefault="00F54F60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thous</w:t>
                      </w:r>
                      <w:r w:rsidR="00F257E5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 xml:space="preserve">. </w:t>
                      </w:r>
                      <w:r w:rsidR="00F257E5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276DD8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A0849" w:rsidRPr="00276DD8" w:rsidRDefault="00F54F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276DD8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32080" wp14:editId="596290E3">
                <wp:simplePos x="0" y="0"/>
                <wp:positionH relativeFrom="margin">
                  <wp:posOffset>4738977</wp:posOffset>
                </wp:positionH>
                <wp:positionV relativeFrom="paragraph">
                  <wp:posOffset>916968</wp:posOffset>
                </wp:positionV>
                <wp:extent cx="533400" cy="27622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4F60" w:rsidRPr="00F42AC0" w:rsidRDefault="00F54F60" w:rsidP="00F54F6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32080" id="Text Box 26" o:spid="_x0000_s1033" type="#_x0000_t202" style="position:absolute;left:0;text-align:left;margin-left:373.15pt;margin-top:72.2pt;width:42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" fillcolor="window" stroked="f" strokeweight=".5pt">
                <v:textbox>
                  <w:txbxContent>
                    <w:p w:rsidR="00F54F60" w:rsidRPr="00F42AC0" w:rsidRDefault="00F54F60" w:rsidP="00F54F60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6DD8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6B472" wp14:editId="3935635D">
                <wp:simplePos x="0" y="0"/>
                <wp:positionH relativeFrom="column">
                  <wp:posOffset>4738977</wp:posOffset>
                </wp:positionH>
                <wp:positionV relativeFrom="paragraph">
                  <wp:posOffset>1179360</wp:posOffset>
                </wp:positionV>
                <wp:extent cx="523875" cy="28575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4F60" w:rsidRPr="00F42AC0" w:rsidRDefault="00F54F60" w:rsidP="00F54F6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6B472" id="Text Box 29" o:spid="_x0000_s1034" type="#_x0000_t202" style="position:absolute;left:0;text-align:left;margin-left:373.15pt;margin-top:92.85pt;width:41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" fillcolor="window" stroked="f" strokeweight=".5pt">
                <v:textbox>
                  <w:txbxContent>
                    <w:p w:rsidR="00F54F60" w:rsidRPr="00F42AC0" w:rsidRDefault="00F54F60" w:rsidP="00F54F60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xport</w:t>
                      </w:r>
                    </w:p>
                  </w:txbxContent>
                </v:textbox>
              </v:shape>
            </w:pict>
          </mc:Fallback>
        </mc:AlternateContent>
      </w:r>
      <w:r w:rsidR="004F6953" w:rsidRPr="00276DD8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3573007</wp:posOffset>
                </wp:positionH>
                <wp:positionV relativeFrom="paragraph">
                  <wp:posOffset>2537404</wp:posOffset>
                </wp:positionV>
                <wp:extent cx="561340" cy="208280"/>
                <wp:effectExtent l="0" t="0" r="2540" b="381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5" type="#_x0000_t202" style="position:absolute;left:0;text-align:left;margin-left:281.35pt;margin-top:199.8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F6953" w:rsidRPr="00276DD8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2546985</wp:posOffset>
                </wp:positionV>
                <wp:extent cx="561340" cy="208280"/>
                <wp:effectExtent l="0" t="3810" r="2540" b="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5A6276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36" type="#_x0000_t202" style="position:absolute;left:0;text-align:left;margin-left:156.8pt;margin-top:200.55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AzhA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" stroked="f">
                <v:textbox style="mso-fit-shape-to-text:t">
                  <w:txbxContent>
                    <w:p w:rsidR="00577DE1" w:rsidRPr="005A6276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948FB" w:rsidRPr="00276DD8">
        <w:rPr>
          <w:noProof/>
        </w:rPr>
        <w:t xml:space="preserve"> </w:t>
      </w:r>
      <w:r w:rsidR="005A6D75" w:rsidRPr="00276DD8">
        <w:rPr>
          <w:noProof/>
        </w:rPr>
        <w:drawing>
          <wp:inline distT="0" distB="0" distL="0" distR="0" wp14:anchorId="15FEBA77" wp14:editId="76677ADB">
            <wp:extent cx="3840480" cy="2638214"/>
            <wp:effectExtent l="0" t="0" r="762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2C9" w:rsidRPr="00276DD8">
        <w:rPr>
          <w:noProof/>
        </w:rPr>
        <w:t xml:space="preserve"> </w:t>
      </w:r>
    </w:p>
    <w:p w:rsidR="00101E3A" w:rsidRPr="00276DD8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A0849" w:rsidRPr="00276DD8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77348" w:rsidRPr="00276DD8" w:rsidRDefault="00F54F6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276DD8">
        <w:rPr>
          <w:rFonts w:ascii="Arial Narrow" w:hAnsi="Arial Narrow" w:cs="Tahoma"/>
          <w:sz w:val="16"/>
          <w:szCs w:val="22"/>
        </w:rPr>
        <w:t>Graph</w:t>
      </w:r>
      <w:r w:rsidR="00777348" w:rsidRPr="00276DD8">
        <w:rPr>
          <w:rFonts w:ascii="Arial Narrow" w:hAnsi="Arial Narrow" w:cs="Tahoma"/>
          <w:sz w:val="16"/>
          <w:szCs w:val="22"/>
        </w:rPr>
        <w:t xml:space="preserve"> </w:t>
      </w:r>
      <w:r w:rsidR="00097E02" w:rsidRPr="00276DD8">
        <w:rPr>
          <w:rFonts w:ascii="Arial Narrow" w:hAnsi="Arial Narrow" w:cs="Tahoma"/>
          <w:sz w:val="16"/>
          <w:szCs w:val="22"/>
        </w:rPr>
        <w:t>4</w:t>
      </w:r>
      <w:r w:rsidR="00777348" w:rsidRPr="00276DD8">
        <w:rPr>
          <w:rFonts w:ascii="Arial Narrow" w:hAnsi="Arial Narrow" w:cs="Tahoma"/>
          <w:sz w:val="16"/>
          <w:szCs w:val="22"/>
        </w:rPr>
        <w:t xml:space="preserve">. </w:t>
      </w:r>
      <w:r w:rsidRPr="00276DD8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485F5B" w:rsidRPr="00276DD8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276DD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276DD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276DD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276DD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276DD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276DD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276DD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276DD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276DD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276DD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276DD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276DD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276DD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F51DA" w:rsidRPr="00276DD8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276DD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612FE" w:rsidRPr="00276DD8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276DD8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76DD8" w:rsidRDefault="00F54F60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276DD8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276DD8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276DD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276DD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276DD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276DD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276DD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276DD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276DD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276DD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276DD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C2DCC" w:rsidRPr="00276DD8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F54F60" w:rsidRPr="00276DD8" w:rsidRDefault="00F54F60" w:rsidP="00F54F60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76DD8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F54F60" w:rsidRPr="00276DD8" w:rsidRDefault="00F54F60" w:rsidP="00F54F60">
            <w:pPr>
              <w:jc w:val="both"/>
              <w:rPr>
                <w:rStyle w:val="Hyperlink"/>
                <w:rFonts w:ascii="Arial Narrow" w:hAnsi="Arial Narrow" w:cs="Tahoma"/>
                <w:color w:val="auto"/>
                <w:sz w:val="18"/>
                <w:szCs w:val="18"/>
              </w:rPr>
            </w:pPr>
            <w:r w:rsidRPr="00276DD8">
              <w:rPr>
                <w:rFonts w:ascii="Arial Narrow" w:hAnsi="Arial Narrow" w:cs="Tahoma"/>
                <w:sz w:val="18"/>
                <w:szCs w:val="18"/>
              </w:rPr>
              <w:t>Biljana Glušac</w:t>
            </w:r>
            <w:r w:rsidRPr="00276DD8">
              <w:rPr>
                <w:rStyle w:val="Hyperlink"/>
                <w:rFonts w:ascii="Arial Narrow" w:hAnsi="Arial Narrow" w:cs="Tahoma"/>
                <w:color w:val="auto"/>
                <w:sz w:val="18"/>
                <w:szCs w:val="18"/>
              </w:rPr>
              <w:t xml:space="preserve"> </w:t>
            </w:r>
          </w:p>
          <w:p w:rsidR="00E31BF3" w:rsidRPr="00276DD8" w:rsidRDefault="00276DD8" w:rsidP="00F54F60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276DD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276DD8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DC2DCC" w:rsidRPr="00276DD8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F54F60" w:rsidRPr="00276DD8" w:rsidRDefault="00F54F60" w:rsidP="00F54F60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76DD8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F54F60" w:rsidRPr="00276DD8" w:rsidRDefault="00F54F60" w:rsidP="00F54F60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76DD8">
              <w:rPr>
                <w:rFonts w:ascii="Arial Narrow" w:hAnsi="Arial Narrow" w:cs="Tahoma"/>
                <w:sz w:val="18"/>
                <w:szCs w:val="18"/>
              </w:rPr>
              <w:t>Slavica Kukrić</w:t>
            </w:r>
          </w:p>
          <w:p w:rsidR="0066022A" w:rsidRPr="00276DD8" w:rsidRDefault="00276DD8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C531C9" w:rsidRPr="00276DD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slavica.kukric@rzs.rs.ba</w:t>
              </w:r>
            </w:hyperlink>
          </w:p>
        </w:tc>
      </w:tr>
      <w:tr w:rsidR="000F5C7E" w:rsidRPr="00276DD8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276DD8" w:rsidRDefault="00F54F60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76DD8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400878" w:rsidRPr="00276DD8" w:rsidRDefault="00F54F60" w:rsidP="00C52E14">
            <w:pPr>
              <w:jc w:val="both"/>
              <w:rPr>
                <w:rStyle w:val="HeaderChar"/>
                <w:rFonts w:ascii="Arial Narrow" w:hAnsi="Arial Narrow"/>
                <w:sz w:val="18"/>
                <w:szCs w:val="18"/>
              </w:rPr>
            </w:pPr>
            <w:r w:rsidRPr="00276DD8">
              <w:rPr>
                <w:rFonts w:ascii="Arial Narrow" w:hAnsi="Arial Narrow" w:cs="Tahoma"/>
                <w:sz w:val="16"/>
                <w:szCs w:val="16"/>
              </w:rPr>
              <w:t>Andrea Erak-Latinović</w:t>
            </w:r>
          </w:p>
          <w:p w:rsidR="000F5C7E" w:rsidRPr="00276DD8" w:rsidRDefault="00276DD8" w:rsidP="00C52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</w:pPr>
            <w:hyperlink r:id="rId16" w:history="1">
              <w:r w:rsidR="00400878" w:rsidRPr="00276DD8">
                <w:rPr>
                  <w:rStyle w:val="Hyperlink"/>
                  <w:rFonts w:ascii="Arial Narrow" w:hAnsi="Arial Narrow" w:cs="Tahoma"/>
                  <w:color w:val="auto"/>
                  <w:sz w:val="18"/>
                  <w:szCs w:val="16"/>
                </w:rPr>
                <w:t>andrea.erak@rzs.rs.ba</w:t>
              </w:r>
            </w:hyperlink>
          </w:p>
        </w:tc>
      </w:tr>
      <w:tr w:rsidR="0066022A" w:rsidRPr="00276DD8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F54F60" w:rsidRPr="00276DD8" w:rsidRDefault="00F54F60" w:rsidP="00F54F60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76DD8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F54F60" w:rsidRPr="00276DD8" w:rsidRDefault="00F54F60" w:rsidP="00F54F60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76DD8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276DD8" w:rsidRDefault="00276DD8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hyperlink r:id="rId17" w:history="1">
              <w:r w:rsidR="000F58AB" w:rsidRPr="00276DD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276DD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276DD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276DD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276DD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276DD8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276DD8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76DD8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F61BAF" w:rsidRPr="00276DD8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276DD8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276DD8" w:rsidRDefault="00F54F60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276DD8"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276DD8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76DD8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276DD8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276DD8">
              <w:rPr>
                <w:rFonts w:ascii="Arial Narrow" w:hAnsi="Arial Narrow" w:cs="Tahoma"/>
                <w:b/>
                <w:bCs/>
                <w:sz w:val="32"/>
                <w:szCs w:val="28"/>
              </w:rPr>
              <w:t xml:space="preserve"> </w:t>
            </w:r>
            <w:r w:rsidRPr="00276DD8">
              <w:rPr>
                <w:rFonts w:ascii="Arial Narrow" w:hAnsi="Arial Narrow" w:cs="Tahoma"/>
                <w:bCs/>
                <w:sz w:val="18"/>
                <w:szCs w:val="16"/>
              </w:rPr>
              <w:t xml:space="preserve">- </w:t>
            </w:r>
            <w:r w:rsidR="00F54F60" w:rsidRPr="00276DD8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276DD8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276DD8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¹ - </w:t>
            </w:r>
            <w:r w:rsidR="00F54F60" w:rsidRPr="00276DD8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276DD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276DD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276DD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276DD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276DD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276DD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276DD8" w:rsidRDefault="009E2A9A" w:rsidP="009E2A9A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4612FE" w:rsidRPr="00276DD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76DD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76DD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76DD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76DD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76DD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76DD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76DD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76DD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76DD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276DD8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276DD8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276DD8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276DD8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276DD8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276DD8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76DD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276DD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276DD8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276DD8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276DD8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276DD8" w:rsidRDefault="00B84B6F" w:rsidP="00E712F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B84B6F" w:rsidRPr="00276DD8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276DD8" w:rsidRDefault="00F54F60" w:rsidP="00E712FE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276DD8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B84B6F" w:rsidRPr="00276DD8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F60" w:rsidRPr="00276DD8" w:rsidRDefault="00F54F60" w:rsidP="00F54F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276DD8">
              <w:rPr>
                <w:rFonts w:ascii="Arial Narrow" w:hAnsi="Arial Narrow" w:cs="Tahoma"/>
                <w:sz w:val="18"/>
                <w:szCs w:val="18"/>
              </w:rPr>
              <w:t>Vladan Sibinović, Head of the Division and Editor in Chief</w:t>
            </w:r>
          </w:p>
          <w:p w:rsidR="00F54F60" w:rsidRPr="00276DD8" w:rsidRDefault="00F54F60" w:rsidP="00F54F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276DD8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 ,</w:t>
            </w:r>
          </w:p>
          <w:p w:rsidR="00F54F60" w:rsidRPr="00276DD8" w:rsidRDefault="00F54F60" w:rsidP="00F54F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276DD8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F54F60" w:rsidRPr="00276DD8" w:rsidRDefault="00F54F60" w:rsidP="00F54F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276DD8">
              <w:rPr>
                <w:rFonts w:ascii="Arial Narrow" w:hAnsi="Arial Narrow" w:cs="Tahoma"/>
                <w:sz w:val="18"/>
                <w:szCs w:val="18"/>
              </w:rPr>
              <w:t>Prof. Dr. Jasmin Komić, Acting Director</w:t>
            </w:r>
          </w:p>
          <w:p w:rsidR="00F54F60" w:rsidRPr="00276DD8" w:rsidRDefault="00F54F60" w:rsidP="00F54F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276DD8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B84B6F" w:rsidRPr="00276DD8" w:rsidRDefault="00F54F60" w:rsidP="00F54F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276DD8">
              <w:rPr>
                <w:rFonts w:ascii="Arial Narrow" w:hAnsi="Arial Narrow" w:cs="Tahoma"/>
                <w:sz w:val="18"/>
                <w:szCs w:val="18"/>
              </w:rPr>
              <w:t>telephone +387 51 332 700; e</w:t>
            </w:r>
            <w:r w:rsidRPr="00276DD8">
              <w:rPr>
                <w:rFonts w:ascii="Arial Narrow" w:hAnsi="Arial Narrow" w:cs="Tahoma"/>
                <w:sz w:val="18"/>
                <w:szCs w:val="18"/>
              </w:rPr>
              <w:t>-mail</w:t>
            </w:r>
            <w:r w:rsidR="00B84B6F" w:rsidRPr="00276DD8"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hyperlink r:id="rId18" w:history="1">
              <w:r w:rsidR="00B84B6F" w:rsidRPr="00276DD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B84B6F" w:rsidRPr="00276DD8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B84B6F" w:rsidRPr="00276DD8" w:rsidRDefault="00F54F60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276DD8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276DD8" w:rsidRDefault="004F6953" w:rsidP="009E2A9A">
      <w:pPr>
        <w:rPr>
          <w:rFonts w:ascii="Tahoma" w:hAnsi="Tahoma" w:cs="Tahoma"/>
        </w:rPr>
      </w:pPr>
      <w:r w:rsidRPr="00276DD8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276DD8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76DD8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7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8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39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BVcIA&#10;AADaAAAADwAAAGRycy9kb3ducmV2LnhtbERPTWvCQBC9F/wPywje6sYcRFNXKdISC0LRWtDbkJ0m&#10;0exs2N2a+O+7gtDT8Hifs1j1phFXcr62rGAyTkAQF1bXXCo4fL0/z0D4gKyxsUwKbuRhtRw8LTDT&#10;tuMdXfehFDGEfYYKqhDaTEpfVGTQj21LHLkf6wyGCF0ptcMuhptGpkkylQZrjg0VtrSuqLjsf40C&#10;x935Lfne5vPDp9l+nPJ0vjkapUbD/vUFRKA+/Isf7o2O8+H+yv3K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8FVwgAAANoAAAAPAAAAAAAAAAAAAAAAAJgCAABkcnMvZG93&#10;bnJldi54bWxQSwUGAAAAAAQABAD1AAAAhwMAAAAA&#10;" fillcolor="#bfbfbf" strokecolor="#bfbfbf"/>
                <v:rect id="Rectangle 23" o:spid="_x0000_s1040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1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76DD8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76DD8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2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R67AMAAIE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rjzkeuwDAACBDQAADgAAAAAAAAAAAAAAAAAuAgAAZHJzL2Uyb0Rv&#10;Yy54bWxQSwECLQAUAAYACAAAACEAbOII3eAAAAAJAQAADwAAAAAAAAAAAAAAAABGBgAAZHJzL2Rv&#10;d25yZXYueG1sUEsFBgAAAAAEAAQA8wAAAFMHAAAAAA==&#10;">
              <v:group id="Group 16" o:spid="_x0000_s1043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7" o:spid="_x0000_s1044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oyMIA&#10;AADaAAAADwAAAGRycy9kb3ducmV2LnhtbERPz2vCMBS+D/wfwhO8zXQeZK1GGWOjFQRZp7DdHs1b&#10;W21eShJt99+bw2DHj+/3ejuaTtzI+daygqd5AoK4srrlWsHx8/3xGYQPyBo7y6TglzxsN5OHNWba&#10;DvxBtzLUIoawz1BBE0KfSemrhgz6ue2JI/djncEQoauldjjEcNPJRZIspcGWY0ODPb02VF3Kq1Hg&#10;eDi/Jad9nh4PZr/7zhdp8WWUmk3HlxWIQGP4F/+5C60gbo1X4g2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WjIwgAAANoAAAAPAAAAAAAAAAAAAAAAAJgCAABkcnMvZG93&#10;bnJldi54bWxQSwUGAAAAAAQABAD1AAAAhwMAAAAA&#10;" fillcolor="#bfbfbf" strokecolor="#bfbfbf"/>
                <v:rect id="Rectangle 18" o:spid="_x0000_s1045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RJDMMA&#10;AADbAAAADwAAAGRycy9kb3ducmV2LnhtbERP32vCMBB+H+x/CDfwbaZTGFpNi4iiA2HMOdC3oznb&#10;uuZSkmi7/34ZCHu7j+/nzfPeNOJGzteWFbwMExDEhdU1lwoOn+vnCQgfkDU2lknBD3nIs8eHOaba&#10;dvxBt30oRQxhn6KCKoQ2ldIXFRn0Q9sSR+5sncEQoSuldtjFcNPIUZK8SoM1x4YKW1pWVHzvr0aB&#10;4+6ySr52m+nh3ezeTpvRdHs0Sg2e+sUMRKA+/Ivv7q2O88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RJDMMAAADbAAAADwAAAAAAAAAAAAAAAACYAgAAZHJzL2Rv&#10;d25yZXYueG1sUEsFBgAAAAAEAAQA9QAAAIgD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6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UgsQA&#10;AADbAAAADwAAAGRycy9kb3ducmV2LnhtbESPQWvCQBSE7wX/w/KE3uqmEUJJXUUCamgu1pbi8ZF9&#10;ZkOzb0N2Nem/7wqFHoeZ+YZZbSbbiRsNvnWs4HmRgCCunW65UfD5sXt6AeEDssbOMSn4IQ+b9exh&#10;hbl2I7/T7RQaESHsc1RgQuhzKX1tyKJfuJ44ehc3WAxRDo3UA44RbjuZJkkmLbYcFwz2VBiqv09X&#10;q2B/rHwwX4dqW/i3ssj09UxLUupxPm1fQQSawn/4r11qBWkK9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PlILEAAAA2wAAAA8AAAAAAAAAAAAAAAAAmAIAAGRycy9k&#10;b3ducmV2LnhtbFBLBQYAAAAABAAEAPUAAACJAw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76DD8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F54F60" w:rsidRDefault="00F54F60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F54F60" w:rsidRDefault="00F54F60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54F60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D46C66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="00F54F6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October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CC2A2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="00F54F60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 xml:space="preserve">, No. </w:t>
          </w:r>
          <w:r w:rsidR="00EB6741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E7774D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61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3F91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7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A5A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2F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DD8"/>
    <w:rsid w:val="00276E82"/>
    <w:rsid w:val="00277108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878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7C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944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0BB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1CA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14A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C55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A65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9B9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78F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0DCB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20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6A9C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984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54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37751"/>
    <w:rsid w:val="00F4015B"/>
    <w:rsid w:val="00F4066D"/>
    <w:rsid w:val="00F4066E"/>
    <w:rsid w:val="00F40870"/>
    <w:rsid w:val="00F408B7"/>
    <w:rsid w:val="00F408D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4F60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1FA4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kricsl\Desktop\OBRADA_2018\Grafikon_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jcevicsa\Desktop\SANJA\SPOLJNA%20TRGOVINA\za%20medije\Prezentacija,%20od%20avg2011\prezentacija%202018\sep%202018\za%20Graf%20I-IX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830</c:v>
                </c:pt>
                <c:pt idx="1">
                  <c:v>831</c:v>
                </c:pt>
                <c:pt idx="2">
                  <c:v>832</c:v>
                </c:pt>
                <c:pt idx="3">
                  <c:v>835</c:v>
                </c:pt>
                <c:pt idx="4">
                  <c:v>825</c:v>
                </c:pt>
                <c:pt idx="5">
                  <c:v>841</c:v>
                </c:pt>
                <c:pt idx="6">
                  <c:v>840</c:v>
                </c:pt>
                <c:pt idx="7">
                  <c:v>840</c:v>
                </c:pt>
                <c:pt idx="8">
                  <c:v>847</c:v>
                </c:pt>
                <c:pt idx="9">
                  <c:v>849</c:v>
                </c:pt>
                <c:pt idx="10">
                  <c:v>848</c:v>
                </c:pt>
                <c:pt idx="11">
                  <c:v>852</c:v>
                </c:pt>
                <c:pt idx="12">
                  <c:v>881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05328"/>
        <c:axId val="5105712"/>
      </c:lineChart>
      <c:catAx>
        <c:axId val="510532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5105712"/>
        <c:crosses val="autoZero"/>
        <c:auto val="1"/>
        <c:lblAlgn val="ctr"/>
        <c:lblOffset val="100"/>
        <c:noMultiLvlLbl val="0"/>
      </c:catAx>
      <c:valAx>
        <c:axId val="5105712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51053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677447651140792E-2"/>
          <c:y val="4.1892834890070285E-2"/>
          <c:w val="0.88864581628187445"/>
          <c:h val="0.76327101638367045"/>
        </c:manualLayout>
      </c:layout>
      <c:lineChart>
        <c:grouping val="standard"/>
        <c:varyColors val="0"/>
        <c:ser>
          <c:idx val="0"/>
          <c:order val="0"/>
          <c:tx>
            <c:strRef>
              <c:f>'maj18'!$C$3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'maj18'!$A$6:$B$21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'maj18'!$C$6:$C$21</c:f>
              <c:numCache>
                <c:formatCode>0.0</c:formatCode>
                <c:ptCount val="13"/>
                <c:pt idx="0">
                  <c:v>0.30000000000000032</c:v>
                </c:pt>
                <c:pt idx="1">
                  <c:v>1.3</c:v>
                </c:pt>
                <c:pt idx="2">
                  <c:v>-0.1</c:v>
                </c:pt>
                <c:pt idx="3">
                  <c:v>0</c:v>
                </c:pt>
                <c:pt idx="4">
                  <c:v>0.2</c:v>
                </c:pt>
                <c:pt idx="5">
                  <c:v>1.2</c:v>
                </c:pt>
                <c:pt idx="6">
                  <c:v>0.4</c:v>
                </c:pt>
                <c:pt idx="7">
                  <c:v>-1.1000000000000001</c:v>
                </c:pt>
                <c:pt idx="8">
                  <c:v>0.2</c:v>
                </c:pt>
                <c:pt idx="9">
                  <c:v>-0.2</c:v>
                </c:pt>
                <c:pt idx="10">
                  <c:v>-0.60000000000000064</c:v>
                </c:pt>
                <c:pt idx="11">
                  <c:v>0</c:v>
                </c:pt>
                <c:pt idx="12">
                  <c:v>0.30000000000000032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43F-441A-94DF-0A030A653DAB}"/>
            </c:ext>
          </c:extLst>
        </c:ser>
        <c:ser>
          <c:idx val="1"/>
          <c:order val="1"/>
          <c:tx>
            <c:strRef>
              <c:f>'maj18'!$D$3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'maj18'!$A$6:$B$21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'maj18'!$D$6:$D$21</c:f>
              <c:numCache>
                <c:formatCode>0.0</c:formatCode>
                <c:ptCount val="13"/>
                <c:pt idx="0">
                  <c:v>0.60000000000000064</c:v>
                </c:pt>
                <c:pt idx="1">
                  <c:v>0.5</c:v>
                </c:pt>
                <c:pt idx="2">
                  <c:v>0.30000000000000032</c:v>
                </c:pt>
                <c:pt idx="3">
                  <c:v>0.4</c:v>
                </c:pt>
                <c:pt idx="4">
                  <c:v>-0.30000000000000032</c:v>
                </c:pt>
                <c:pt idx="5">
                  <c:v>0.8</c:v>
                </c:pt>
                <c:pt idx="6">
                  <c:v>1</c:v>
                </c:pt>
                <c:pt idx="7">
                  <c:v>1.1000000000000001</c:v>
                </c:pt>
                <c:pt idx="8">
                  <c:v>1.4</c:v>
                </c:pt>
                <c:pt idx="9">
                  <c:v>1.6</c:v>
                </c:pt>
                <c:pt idx="10">
                  <c:v>1.5</c:v>
                </c:pt>
                <c:pt idx="11">
                  <c:v>1.6</c:v>
                </c:pt>
                <c:pt idx="12">
                  <c:v>1.6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43F-441A-94DF-0A030A653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1776632"/>
        <c:axId val="291777016"/>
      </c:lineChart>
      <c:catAx>
        <c:axId val="29177663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917770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91777016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91776632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0801165234065724"/>
          <c:y val="0.86125065768864639"/>
          <c:w val="0.54886600142313569"/>
          <c:h val="0.13874934231135361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16">
                    <c:v>2016</c:v>
                  </c:pt>
                  <c:pt idx="28">
                    <c:v>2017</c:v>
                  </c:pt>
                  <c:pt idx="40">
                    <c:v>2018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101.98328117425162</c:v>
                </c:pt>
                <c:pt idx="1">
                  <c:v>101.41380139773788</c:v>
                </c:pt>
                <c:pt idx="2">
                  <c:v>97.249240245735706</c:v>
                </c:pt>
                <c:pt idx="3">
                  <c:v>97.644618018260147</c:v>
                </c:pt>
                <c:pt idx="4">
                  <c:v>99.458807469262098</c:v>
                </c:pt>
                <c:pt idx="5">
                  <c:v>103.29214965011121</c:v>
                </c:pt>
                <c:pt idx="6">
                  <c:v>94.762027967349667</c:v>
                </c:pt>
                <c:pt idx="7">
                  <c:v>99.202402857711277</c:v>
                </c:pt>
                <c:pt idx="8">
                  <c:v>101.88024504802497</c:v>
                </c:pt>
                <c:pt idx="9">
                  <c:v>103.13081327197406</c:v>
                </c:pt>
                <c:pt idx="10">
                  <c:v>102.09239874659356</c:v>
                </c:pt>
                <c:pt idx="11">
                  <c:v>101.06266325882341</c:v>
                </c:pt>
                <c:pt idx="12">
                  <c:v>98.292319799977079</c:v>
                </c:pt>
                <c:pt idx="13">
                  <c:v>100.7429427169743</c:v>
                </c:pt>
                <c:pt idx="14">
                  <c:v>99.632623197301157</c:v>
                </c:pt>
                <c:pt idx="15">
                  <c:v>97.146539698383904</c:v>
                </c:pt>
                <c:pt idx="16">
                  <c:v>93.449429479413396</c:v>
                </c:pt>
                <c:pt idx="17">
                  <c:v>107.84028394824161</c:v>
                </c:pt>
                <c:pt idx="18">
                  <c:v>115.28939436508915</c:v>
                </c:pt>
                <c:pt idx="19">
                  <c:v>101.93081937023184</c:v>
                </c:pt>
                <c:pt idx="20">
                  <c:v>108.62430883693605</c:v>
                </c:pt>
                <c:pt idx="21">
                  <c:v>107.22651520537126</c:v>
                </c:pt>
                <c:pt idx="22">
                  <c:v>106.05749516500711</c:v>
                </c:pt>
                <c:pt idx="23">
                  <c:v>112.42591382176592</c:v>
                </c:pt>
                <c:pt idx="24">
                  <c:v>112.48910818708066</c:v>
                </c:pt>
                <c:pt idx="25">
                  <c:v>105.82164075786514</c:v>
                </c:pt>
                <c:pt idx="26">
                  <c:v>108.75378992160493</c:v>
                </c:pt>
                <c:pt idx="27">
                  <c:v>114.86662627554793</c:v>
                </c:pt>
                <c:pt idx="28">
                  <c:v>112.89087407338664</c:v>
                </c:pt>
                <c:pt idx="29">
                  <c:v>111.93068180490101</c:v>
                </c:pt>
                <c:pt idx="30">
                  <c:v>108.97496935022589</c:v>
                </c:pt>
                <c:pt idx="31">
                  <c:v>112.28642031675436</c:v>
                </c:pt>
                <c:pt idx="32">
                  <c:v>101.57133147977677</c:v>
                </c:pt>
                <c:pt idx="33">
                  <c:v>114.60580706297075</c:v>
                </c:pt>
                <c:pt idx="34">
                  <c:v>104.62170372753731</c:v>
                </c:pt>
                <c:pt idx="35">
                  <c:v>107.38776889788977</c:v>
                </c:pt>
                <c:pt idx="36">
                  <c:v>107.57932167293487</c:v>
                </c:pt>
                <c:pt idx="37">
                  <c:v>107.38776118350275</c:v>
                </c:pt>
                <c:pt idx="38">
                  <c:v>113.4517230295107</c:v>
                </c:pt>
                <c:pt idx="39">
                  <c:v>111.73430237399715</c:v>
                </c:pt>
                <c:pt idx="40">
                  <c:v>110.9146896902286</c:v>
                </c:pt>
                <c:pt idx="41">
                  <c:v>117.57284408621294</c:v>
                </c:pt>
                <c:pt idx="42">
                  <c:v>118.05372276944007</c:v>
                </c:pt>
                <c:pt idx="43">
                  <c:v>116.31876028079144</c:v>
                </c:pt>
                <c:pt idx="44">
                  <c:v>122.85080569318013</c:v>
                </c:pt>
                <c:pt idx="45">
                  <c:v>109.5759176204166</c:v>
                </c:pt>
                <c:pt idx="46">
                  <c:v>119.21348560913358</c:v>
                </c:pt>
                <c:pt idx="47">
                  <c:v>105.59563527621368</c:v>
                </c:pt>
                <c:pt idx="48">
                  <c:v>111.46076861716239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D0D-4735-B64F-C0D981420EB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16">
                    <c:v>2016</c:v>
                  </c:pt>
                  <c:pt idx="28">
                    <c:v>2017</c:v>
                  </c:pt>
                  <c:pt idx="40">
                    <c:v>2018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98.802580180606896</c:v>
                </c:pt>
                <c:pt idx="1">
                  <c:v>99.530230321373168</c:v>
                </c:pt>
                <c:pt idx="2">
                  <c:v>99.216059419284193</c:v>
                </c:pt>
                <c:pt idx="3">
                  <c:v>99.217492002516366</c:v>
                </c:pt>
                <c:pt idx="4">
                  <c:v>99.805550273643846</c:v>
                </c:pt>
                <c:pt idx="5">
                  <c:v>99.943873063077561</c:v>
                </c:pt>
                <c:pt idx="6">
                  <c:v>99.569286249373064</c:v>
                </c:pt>
                <c:pt idx="7">
                  <c:v>100.05549877225107</c:v>
                </c:pt>
                <c:pt idx="8">
                  <c:v>101.20594856418468</c:v>
                </c:pt>
                <c:pt idx="9">
                  <c:v>101.85861417159636</c:v>
                </c:pt>
                <c:pt idx="10">
                  <c:v>101.76641626000821</c:v>
                </c:pt>
                <c:pt idx="11">
                  <c:v>101.17060264729986</c:v>
                </c:pt>
                <c:pt idx="12">
                  <c:v>100.63665742082607</c:v>
                </c:pt>
                <c:pt idx="13">
                  <c:v>100.43244157090265</c:v>
                </c:pt>
                <c:pt idx="14">
                  <c:v>100.10714007533554</c:v>
                </c:pt>
                <c:pt idx="15">
                  <c:v>99.762052629637139</c:v>
                </c:pt>
                <c:pt idx="16">
                  <c:v>101.03979792440835</c:v>
                </c:pt>
                <c:pt idx="17">
                  <c:v>104.4127823005159</c:v>
                </c:pt>
                <c:pt idx="18">
                  <c:v>106.68072962729934</c:v>
                </c:pt>
                <c:pt idx="19">
                  <c:v>106.6676384650516</c:v>
                </c:pt>
                <c:pt idx="20">
                  <c:v>106.77644190067562</c:v>
                </c:pt>
                <c:pt idx="21">
                  <c:v>107.26203901755419</c:v>
                </c:pt>
                <c:pt idx="22">
                  <c:v>107.98467356388639</c:v>
                </c:pt>
                <c:pt idx="23">
                  <c:v>109.10743004138115</c:v>
                </c:pt>
                <c:pt idx="24">
                  <c:v>109.36362091850644</c:v>
                </c:pt>
                <c:pt idx="25">
                  <c:v>108.9892540039138</c:v>
                </c:pt>
                <c:pt idx="26">
                  <c:v>109.64354287882266</c:v>
                </c:pt>
                <c:pt idx="27">
                  <c:v>110.87414739728403</c:v>
                </c:pt>
                <c:pt idx="28">
                  <c:v>111.19384857237608</c:v>
                </c:pt>
                <c:pt idx="29">
                  <c:v>110.60809151945564</c:v>
                </c:pt>
                <c:pt idx="30">
                  <c:v>109.86830439843668</c:v>
                </c:pt>
                <c:pt idx="31">
                  <c:v>108.9228677693287</c:v>
                </c:pt>
                <c:pt idx="32">
                  <c:v>108.27962248872956</c:v>
                </c:pt>
                <c:pt idx="33">
                  <c:v>108.3487486149</c:v>
                </c:pt>
                <c:pt idx="34">
                  <c:v>108.06540662554877</c:v>
                </c:pt>
                <c:pt idx="35">
                  <c:v>107.88145254508701</c:v>
                </c:pt>
                <c:pt idx="36">
                  <c:v>108.38113272335367</c:v>
                </c:pt>
                <c:pt idx="37">
                  <c:v>109.41279073522493</c:v>
                </c:pt>
                <c:pt idx="38">
                  <c:v>110.79169967630806</c:v>
                </c:pt>
                <c:pt idx="39">
                  <c:v>111.7692835545792</c:v>
                </c:pt>
                <c:pt idx="40">
                  <c:v>112.8722109843697</c:v>
                </c:pt>
                <c:pt idx="41">
                  <c:v>114.50699872849034</c:v>
                </c:pt>
                <c:pt idx="42">
                  <c:v>115.64084947419011</c:v>
                </c:pt>
                <c:pt idx="43">
                  <c:v>116.12774645697519</c:v>
                </c:pt>
                <c:pt idx="44">
                  <c:v>115.71373011666515</c:v>
                </c:pt>
                <c:pt idx="45">
                  <c:v>114.42215636006269</c:v>
                </c:pt>
                <c:pt idx="46">
                  <c:v>113.0344840527282</c:v>
                </c:pt>
                <c:pt idx="47">
                  <c:v>111.68386211382597</c:v>
                </c:pt>
                <c:pt idx="48">
                  <c:v>111.34565660372422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D0D-4735-B64F-C0D981420E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1002640"/>
        <c:axId val="291003024"/>
      </c:lineChart>
      <c:catAx>
        <c:axId val="29100264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291003024"/>
        <c:crosses val="autoZero"/>
        <c:auto val="1"/>
        <c:lblAlgn val="ctr"/>
        <c:lblOffset val="100"/>
        <c:noMultiLvlLbl val="0"/>
      </c:catAx>
      <c:valAx>
        <c:axId val="291003024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29100264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zaSep2018!$A$2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zaSep2018!$B$1:$N$1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zaSep2018!$B$2:$N$2</c:f>
              <c:numCache>
                <c:formatCode>General</c:formatCode>
                <c:ptCount val="13"/>
                <c:pt idx="0">
                  <c:v>445444</c:v>
                </c:pt>
                <c:pt idx="1">
                  <c:v>449634</c:v>
                </c:pt>
                <c:pt idx="2">
                  <c:v>481408</c:v>
                </c:pt>
                <c:pt idx="3">
                  <c:v>376291</c:v>
                </c:pt>
                <c:pt idx="4">
                  <c:v>288848</c:v>
                </c:pt>
                <c:pt idx="5">
                  <c:v>400944</c:v>
                </c:pt>
                <c:pt idx="6">
                  <c:v>507433</c:v>
                </c:pt>
                <c:pt idx="7">
                  <c:v>394871</c:v>
                </c:pt>
                <c:pt idx="8">
                  <c:v>478813</c:v>
                </c:pt>
                <c:pt idx="9">
                  <c:v>452566</c:v>
                </c:pt>
                <c:pt idx="10">
                  <c:v>535656</c:v>
                </c:pt>
                <c:pt idx="11">
                  <c:v>392704</c:v>
                </c:pt>
                <c:pt idx="12">
                  <c:v>455182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zaSep2018!$A$3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zaSep2018!$B$1:$N$1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zaSep2018!$B$3:$N$3</c:f>
              <c:numCache>
                <c:formatCode>0</c:formatCode>
                <c:ptCount val="13"/>
                <c:pt idx="0">
                  <c:v>323353</c:v>
                </c:pt>
                <c:pt idx="1">
                  <c:v>316606</c:v>
                </c:pt>
                <c:pt idx="2">
                  <c:v>331734</c:v>
                </c:pt>
                <c:pt idx="3">
                  <c:v>291356</c:v>
                </c:pt>
                <c:pt idx="4">
                  <c:v>291774</c:v>
                </c:pt>
                <c:pt idx="5">
                  <c:v>293137</c:v>
                </c:pt>
                <c:pt idx="6">
                  <c:v>298528</c:v>
                </c:pt>
                <c:pt idx="7">
                  <c:v>295434</c:v>
                </c:pt>
                <c:pt idx="8">
                  <c:v>311369</c:v>
                </c:pt>
                <c:pt idx="9">
                  <c:v>335576</c:v>
                </c:pt>
                <c:pt idx="10">
                  <c:v>345951</c:v>
                </c:pt>
                <c:pt idx="11">
                  <c:v>278325</c:v>
                </c:pt>
                <c:pt idx="12">
                  <c:v>311671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1541232"/>
        <c:axId val="256984848"/>
      </c:lineChart>
      <c:catAx>
        <c:axId val="29154123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56984848"/>
        <c:crosses val="autoZero"/>
        <c:auto val="1"/>
        <c:lblAlgn val="ctr"/>
        <c:lblOffset val="100"/>
        <c:noMultiLvlLbl val="0"/>
      </c:catAx>
      <c:valAx>
        <c:axId val="256984848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291541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CC48-BF7C-4480-9315-C070208B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1163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8221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83</cp:revision>
  <cp:lastPrinted>2018-10-22T11:41:00Z</cp:lastPrinted>
  <dcterms:created xsi:type="dcterms:W3CDTF">2018-06-21T10:44:00Z</dcterms:created>
  <dcterms:modified xsi:type="dcterms:W3CDTF">2018-10-22T11:41:00Z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