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643A8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6C418B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6C418B">
              <w:rPr>
                <w:rFonts w:ascii="Arial Narrow" w:hAnsi="Arial Narrow" w:cs="Tahoma"/>
                <w:color w:val="1F497D" w:themeColor="text2"/>
                <w:sz w:val="16"/>
              </w:rPr>
              <w:t>3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797731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I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6C418B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7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5A718D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3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6C418B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7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6D71F8" w:rsidP="006D71F8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јануар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7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EF1215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EF121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Просјечна нето плата у </w:t>
      </w:r>
      <w:r w:rsidR="009E40AA" w:rsidRPr="00EF12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деце</w:t>
      </w:r>
      <w:r w:rsidR="005F6D3F" w:rsidRPr="00EF12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м</w:t>
      </w:r>
      <w:r w:rsidR="003E5596" w:rsidRPr="00EF12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</w:t>
      </w:r>
      <w:r w:rsidR="00D04679" w:rsidRPr="00EF12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ру</w:t>
      </w:r>
      <w:r w:rsidRPr="00EF121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8</w:t>
      </w:r>
      <w:r w:rsidR="001A1E7A" w:rsidRPr="00EF12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3</w:t>
      </w:r>
      <w:r w:rsidR="009E40AA" w:rsidRPr="00EF1215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</w:t>
      </w:r>
      <w:r w:rsidRPr="00EF1215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EF121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EF1215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EF121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EF1215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EF1215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5F6D3F" w:rsidRPr="00EF1215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9E40AA" w:rsidRPr="00EF1215">
        <w:rPr>
          <w:rFonts w:ascii="Arial Narrow" w:hAnsi="Arial Narrow" w:cs="Tahoma"/>
          <w:b/>
          <w:sz w:val="28"/>
          <w:szCs w:val="28"/>
          <w:lang w:val="ru-RU"/>
        </w:rPr>
        <w:t>37</w:t>
      </w:r>
      <w:r w:rsidRPr="00EF1215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EF1215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EF1215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EF1215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EF1215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EF1215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EF121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652176" w:rsidRPr="00EF1215">
        <w:rPr>
          <w:rFonts w:ascii="Arial Narrow" w:hAnsi="Arial Narrow" w:cs="Tahoma"/>
          <w:b/>
          <w:i/>
          <w:sz w:val="28"/>
          <w:szCs w:val="28"/>
          <w:lang w:val="sr-Cyrl-CS"/>
        </w:rPr>
        <w:t>Административне и помоћне услужне дјелатности</w:t>
      </w:r>
      <w:r w:rsidR="00652176" w:rsidRPr="00EF1215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EF1215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9E40AA" w:rsidRPr="00EF1215">
        <w:rPr>
          <w:rFonts w:ascii="Arial Narrow" w:hAnsi="Arial Narrow" w:cs="Tahoma"/>
          <w:b/>
          <w:sz w:val="28"/>
          <w:szCs w:val="28"/>
          <w:lang w:val="sr-Cyrl-BA"/>
        </w:rPr>
        <w:t>23</w:t>
      </w:r>
      <w:r w:rsidRPr="00EF1215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EF1215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EF1215">
        <w:rPr>
          <w:rFonts w:ascii="Tahoma" w:hAnsi="Tahoma" w:cs="Tahoma"/>
          <w:b/>
          <w:lang w:val="sr-Cyrl-CS"/>
        </w:rPr>
        <w:tab/>
      </w:r>
      <w:r w:rsidRPr="00EF1215">
        <w:rPr>
          <w:rFonts w:ascii="Tahoma" w:hAnsi="Tahoma" w:cs="Tahoma"/>
          <w:b/>
          <w:lang w:val="sr-Cyrl-CS"/>
        </w:rPr>
        <w:tab/>
      </w:r>
    </w:p>
    <w:p w:rsidR="00B82005" w:rsidRPr="00EF1215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EF1215">
        <w:rPr>
          <w:rFonts w:ascii="Arial Narrow" w:hAnsi="Arial Narrow" w:cs="Tahoma"/>
          <w:sz w:val="22"/>
          <w:lang w:val="sr-Cyrl-BA"/>
        </w:rPr>
        <w:t>П</w:t>
      </w:r>
      <w:r w:rsidRPr="00EF1215">
        <w:rPr>
          <w:rFonts w:ascii="Arial Narrow" w:hAnsi="Arial Narrow" w:cs="Tahoma"/>
          <w:sz w:val="22"/>
          <w:lang w:val="sr-Cyrl-CS"/>
        </w:rPr>
        <w:t>росјечна</w:t>
      </w:r>
      <w:r w:rsidRPr="00EF1215">
        <w:rPr>
          <w:rFonts w:ascii="Arial Narrow" w:hAnsi="Arial Narrow" w:cs="Tahoma"/>
          <w:sz w:val="22"/>
          <w:lang w:val="ru-RU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>мјесечна нето плата</w:t>
      </w:r>
      <w:r w:rsidRPr="00EF1215">
        <w:rPr>
          <w:rFonts w:ascii="Arial Narrow" w:hAnsi="Arial Narrow" w:cs="Tahoma"/>
          <w:b/>
          <w:sz w:val="22"/>
          <w:lang w:val="ru-RU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EF1215">
        <w:rPr>
          <w:rFonts w:ascii="Arial Narrow" w:hAnsi="Arial Narrow" w:cs="Tahoma"/>
          <w:b/>
          <w:sz w:val="22"/>
          <w:lang w:val="ru-RU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9E40AA" w:rsidRPr="00EF1215">
        <w:rPr>
          <w:rFonts w:ascii="Arial Narrow" w:hAnsi="Arial Narrow" w:cs="Tahoma"/>
          <w:sz w:val="22"/>
          <w:lang w:val="sr-Cyrl-CS"/>
        </w:rPr>
        <w:t>дец</w:t>
      </w:r>
      <w:r w:rsidR="005F6D3F" w:rsidRPr="00EF1215">
        <w:rPr>
          <w:rFonts w:ascii="Arial Narrow" w:hAnsi="Arial Narrow" w:cs="Tahoma"/>
          <w:sz w:val="22"/>
          <w:lang w:val="sr-Cyrl-CS"/>
        </w:rPr>
        <w:t>ем</w:t>
      </w:r>
      <w:r w:rsidR="00D04679" w:rsidRPr="00EF1215">
        <w:rPr>
          <w:rFonts w:ascii="Arial Narrow" w:hAnsi="Arial Narrow" w:cs="Tahoma"/>
          <w:sz w:val="22"/>
          <w:lang w:val="sr-Cyrl-CS"/>
        </w:rPr>
        <w:t>бру</w:t>
      </w:r>
      <w:r w:rsidRPr="00EF1215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EF1215">
        <w:rPr>
          <w:rFonts w:ascii="Arial Narrow" w:hAnsi="Arial Narrow" w:cs="Tahoma"/>
          <w:sz w:val="22"/>
          <w:lang w:val="sr-Cyrl-CS"/>
        </w:rPr>
        <w:t>6</w:t>
      </w:r>
      <w:r w:rsidRPr="00EF1215">
        <w:rPr>
          <w:rFonts w:ascii="Arial Narrow" w:hAnsi="Arial Narrow" w:cs="Tahoma"/>
          <w:sz w:val="22"/>
          <w:lang w:val="sr-Cyrl-CS"/>
        </w:rPr>
        <w:t>.</w:t>
      </w:r>
      <w:r w:rsidRPr="00EF1215">
        <w:rPr>
          <w:rFonts w:ascii="Arial Narrow" w:hAnsi="Arial Narrow" w:cs="Tahoma"/>
          <w:sz w:val="22"/>
          <w:lang w:val="ru-RU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EF1215">
        <w:rPr>
          <w:rFonts w:ascii="Arial Narrow" w:hAnsi="Arial Narrow" w:cs="Tahoma"/>
          <w:sz w:val="22"/>
          <w:lang w:val="sr-Cyrl-BA"/>
        </w:rPr>
        <w:t>ла је</w:t>
      </w:r>
      <w:r w:rsidRPr="00EF1215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>8</w:t>
      </w:r>
      <w:r w:rsidR="001A1E7A" w:rsidRPr="00EF1215">
        <w:rPr>
          <w:rFonts w:ascii="Arial Narrow" w:hAnsi="Arial Narrow" w:cs="Tahoma"/>
          <w:sz w:val="22"/>
          <w:lang w:val="sr-Cyrl-CS"/>
        </w:rPr>
        <w:t>3</w:t>
      </w:r>
      <w:r w:rsidR="009E40AA" w:rsidRPr="00EF1215">
        <w:rPr>
          <w:rFonts w:ascii="Arial Narrow" w:hAnsi="Arial Narrow" w:cs="Tahoma"/>
          <w:sz w:val="22"/>
          <w:lang w:val="sr-Cyrl-CS"/>
        </w:rPr>
        <w:t>5</w:t>
      </w:r>
      <w:r w:rsidRPr="00EF1215">
        <w:rPr>
          <w:rFonts w:ascii="Arial Narrow" w:hAnsi="Arial Narrow" w:cs="Tahoma"/>
          <w:sz w:val="22"/>
          <w:lang w:val="sr-Cyrl-CS"/>
        </w:rPr>
        <w:t xml:space="preserve"> КМ</w:t>
      </w:r>
      <w:r w:rsidRPr="00EF1215">
        <w:rPr>
          <w:rFonts w:ascii="Arial Narrow" w:hAnsi="Arial Narrow" w:cs="Tahoma"/>
          <w:sz w:val="22"/>
          <w:lang w:val="hr-HR"/>
        </w:rPr>
        <w:t>,</w:t>
      </w:r>
      <w:r w:rsidRPr="00EF1215">
        <w:rPr>
          <w:rFonts w:ascii="Arial Narrow" w:hAnsi="Arial Narrow" w:cs="Tahoma"/>
          <w:sz w:val="22"/>
          <w:lang w:val="ru-RU"/>
        </w:rPr>
        <w:t xml:space="preserve"> а п</w:t>
      </w:r>
      <w:r w:rsidRPr="00EF1215">
        <w:rPr>
          <w:rFonts w:ascii="Arial Narrow" w:hAnsi="Arial Narrow" w:cs="Tahoma"/>
          <w:sz w:val="22"/>
          <w:lang w:val="sr-Cyrl-CS"/>
        </w:rPr>
        <w:t>росјечна</w:t>
      </w:r>
      <w:r w:rsidRPr="00EF1215">
        <w:rPr>
          <w:rFonts w:ascii="Arial Narrow" w:hAnsi="Arial Narrow" w:cs="Tahoma"/>
          <w:sz w:val="22"/>
          <w:lang w:val="ru-RU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EF1215">
        <w:rPr>
          <w:rFonts w:ascii="Arial Narrow" w:hAnsi="Arial Narrow" w:cs="Tahoma"/>
          <w:sz w:val="22"/>
          <w:lang w:val="ru-RU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>1 3</w:t>
      </w:r>
      <w:r w:rsidR="000B278C" w:rsidRPr="00EF1215">
        <w:rPr>
          <w:rFonts w:ascii="Arial Narrow" w:hAnsi="Arial Narrow" w:cs="Tahoma"/>
          <w:sz w:val="22"/>
          <w:lang w:val="sr-Cyrl-CS"/>
        </w:rPr>
        <w:t>4</w:t>
      </w:r>
      <w:r w:rsidR="009E40AA" w:rsidRPr="00EF1215">
        <w:rPr>
          <w:rFonts w:ascii="Arial Narrow" w:hAnsi="Arial Narrow" w:cs="Tahoma"/>
          <w:sz w:val="22"/>
          <w:lang w:val="sr-Cyrl-CS"/>
        </w:rPr>
        <w:t>3</w:t>
      </w:r>
      <w:r w:rsidR="00F0781C" w:rsidRPr="00EF1215">
        <w:rPr>
          <w:rFonts w:ascii="Arial Narrow" w:hAnsi="Arial Narrow" w:cs="Tahoma"/>
          <w:sz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>КМ.</w:t>
      </w:r>
      <w:r w:rsidR="00B82005" w:rsidRPr="00EF1215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EF1215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EF1215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EF1215">
        <w:rPr>
          <w:rFonts w:ascii="Arial Narrow" w:hAnsi="Arial Narrow" w:cs="Tahoma"/>
          <w:sz w:val="22"/>
          <w:lang w:val="sr-Latn-CS"/>
        </w:rPr>
        <w:t xml:space="preserve">У </w:t>
      </w:r>
      <w:r w:rsidRPr="00EF1215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9E40AA" w:rsidRPr="00EF1215">
        <w:rPr>
          <w:rFonts w:ascii="Arial Narrow" w:hAnsi="Arial Narrow" w:cs="Tahoma"/>
          <w:sz w:val="22"/>
          <w:lang w:val="sr-Cyrl-CS"/>
        </w:rPr>
        <w:t>дец</w:t>
      </w:r>
      <w:r w:rsidR="005F6D3F" w:rsidRPr="00EF1215">
        <w:rPr>
          <w:rFonts w:ascii="Arial Narrow" w:hAnsi="Arial Narrow" w:cs="Tahoma"/>
          <w:sz w:val="22"/>
          <w:lang w:val="sr-Cyrl-CS"/>
        </w:rPr>
        <w:t>ем</w:t>
      </w:r>
      <w:r w:rsidR="00D04679" w:rsidRPr="00EF1215">
        <w:rPr>
          <w:rFonts w:ascii="Arial Narrow" w:hAnsi="Arial Narrow" w:cs="Tahoma"/>
          <w:sz w:val="22"/>
          <w:lang w:val="sr-Cyrl-CS"/>
        </w:rPr>
        <w:t>бар</w:t>
      </w:r>
      <w:r w:rsidRPr="00EF1215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EF1215">
        <w:rPr>
          <w:rFonts w:ascii="Arial Narrow" w:hAnsi="Arial Narrow" w:cs="Tahoma"/>
          <w:sz w:val="22"/>
          <w:lang w:val="sr-Cyrl-CS"/>
        </w:rPr>
        <w:t>5</w:t>
      </w:r>
      <w:r w:rsidRPr="00EF1215">
        <w:rPr>
          <w:rFonts w:ascii="Arial Narrow" w:hAnsi="Arial Narrow" w:cs="Tahoma"/>
          <w:sz w:val="22"/>
          <w:lang w:val="sr-Cyrl-CS"/>
        </w:rPr>
        <w:t xml:space="preserve">. </w:t>
      </w:r>
      <w:r w:rsidRPr="00EF1215">
        <w:rPr>
          <w:rFonts w:ascii="Arial Narrow" w:hAnsi="Arial Narrow" w:cs="Tahoma"/>
          <w:sz w:val="22"/>
          <w:lang w:val="sr-Cyrl-BA"/>
        </w:rPr>
        <w:t>г</w:t>
      </w:r>
      <w:r w:rsidRPr="00EF1215">
        <w:rPr>
          <w:rFonts w:ascii="Arial Narrow" w:hAnsi="Arial Narrow" w:cs="Tahoma"/>
          <w:sz w:val="22"/>
          <w:lang w:val="sr-Cyrl-CS"/>
        </w:rPr>
        <w:t>одине</w:t>
      </w:r>
      <w:r w:rsidRPr="00EF1215">
        <w:rPr>
          <w:rFonts w:ascii="Arial Narrow" w:hAnsi="Arial Narrow" w:cs="Tahoma"/>
          <w:sz w:val="22"/>
          <w:lang w:val="sr-Latn-BA"/>
        </w:rPr>
        <w:t>,</w:t>
      </w:r>
      <w:r w:rsidRPr="00EF1215">
        <w:rPr>
          <w:rFonts w:ascii="Arial Narrow" w:hAnsi="Arial Narrow" w:cs="Tahoma"/>
          <w:sz w:val="22"/>
          <w:lang w:val="sr-Cyrl-BA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9E40AA" w:rsidRPr="00EF1215">
        <w:rPr>
          <w:rFonts w:ascii="Arial Narrow" w:hAnsi="Arial Narrow" w:cs="Tahoma"/>
          <w:sz w:val="22"/>
          <w:lang w:val="sr-Cyrl-CS"/>
        </w:rPr>
        <w:t>дец</w:t>
      </w:r>
      <w:r w:rsidR="005F6D3F" w:rsidRPr="00EF1215">
        <w:rPr>
          <w:rFonts w:ascii="Arial Narrow" w:hAnsi="Arial Narrow" w:cs="Tahoma"/>
          <w:sz w:val="22"/>
          <w:lang w:val="sr-Cyrl-CS"/>
        </w:rPr>
        <w:t>ем</w:t>
      </w:r>
      <w:r w:rsidR="00D04679" w:rsidRPr="00EF1215">
        <w:rPr>
          <w:rFonts w:ascii="Arial Narrow" w:hAnsi="Arial Narrow" w:cs="Tahoma"/>
          <w:sz w:val="22"/>
          <w:lang w:val="sr-Cyrl-CS"/>
        </w:rPr>
        <w:t>бру</w:t>
      </w:r>
      <w:r w:rsidRPr="00EF1215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EF1215">
        <w:rPr>
          <w:rFonts w:ascii="Arial Narrow" w:hAnsi="Arial Narrow" w:cs="Tahoma"/>
          <w:sz w:val="22"/>
          <w:lang w:val="sr-Cyrl-CS"/>
        </w:rPr>
        <w:t>6</w:t>
      </w:r>
      <w:r w:rsidRPr="00EF1215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9E40AA" w:rsidRPr="00EF1215">
        <w:rPr>
          <w:rFonts w:ascii="Arial Narrow" w:hAnsi="Arial Narrow" w:cs="Tahoma"/>
          <w:sz w:val="22"/>
          <w:lang w:val="sr-Cyrl-CS"/>
        </w:rPr>
        <w:t>0</w:t>
      </w:r>
      <w:r w:rsidRPr="00EF1215">
        <w:rPr>
          <w:rFonts w:ascii="Arial Narrow" w:hAnsi="Arial Narrow" w:cs="Tahoma"/>
          <w:sz w:val="22"/>
          <w:lang w:val="sr-Cyrl-CS"/>
        </w:rPr>
        <w:t>,</w:t>
      </w:r>
      <w:r w:rsidR="009E40AA" w:rsidRPr="00EF1215">
        <w:rPr>
          <w:rFonts w:ascii="Arial Narrow" w:hAnsi="Arial Narrow" w:cs="Tahoma"/>
          <w:sz w:val="22"/>
          <w:lang w:val="sr-Cyrl-CS"/>
        </w:rPr>
        <w:t>4</w:t>
      </w:r>
      <w:r w:rsidRPr="00EF1215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9E40AA" w:rsidRPr="00EF1215">
        <w:rPr>
          <w:rFonts w:ascii="Arial Narrow" w:hAnsi="Arial Narrow" w:cs="Tahoma"/>
          <w:sz w:val="22"/>
          <w:lang w:val="sr-Cyrl-CS"/>
        </w:rPr>
        <w:t>новем</w:t>
      </w:r>
      <w:r w:rsidR="003E5596" w:rsidRPr="00EF1215">
        <w:rPr>
          <w:rFonts w:ascii="Arial Narrow" w:hAnsi="Arial Narrow" w:cs="Tahoma"/>
          <w:sz w:val="22"/>
          <w:lang w:val="sr-Cyrl-CS"/>
        </w:rPr>
        <w:t>бар</w:t>
      </w:r>
      <w:r w:rsidRPr="00EF1215">
        <w:rPr>
          <w:rFonts w:ascii="Arial Narrow" w:hAnsi="Arial Narrow" w:cs="Tahoma"/>
          <w:sz w:val="22"/>
          <w:lang w:val="sr-Cyrl-CS"/>
        </w:rPr>
        <w:t xml:space="preserve"> 201</w:t>
      </w:r>
      <w:r w:rsidR="009D0778" w:rsidRPr="00EF1215">
        <w:rPr>
          <w:rFonts w:ascii="Arial Narrow" w:hAnsi="Arial Narrow" w:cs="Tahoma"/>
          <w:sz w:val="22"/>
          <w:lang w:val="sr-Cyrl-CS"/>
        </w:rPr>
        <w:t>6</w:t>
      </w:r>
      <w:r w:rsidRPr="00EF1215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9E40AA" w:rsidRPr="00EF1215">
        <w:rPr>
          <w:rFonts w:ascii="Arial Narrow" w:hAnsi="Arial Narrow" w:cs="Tahoma"/>
          <w:sz w:val="22"/>
          <w:lang w:val="sr-Cyrl-CS"/>
        </w:rPr>
        <w:t>мања</w:t>
      </w:r>
      <w:r w:rsidR="00675807" w:rsidRPr="00EF1215">
        <w:rPr>
          <w:rFonts w:ascii="Arial Narrow" w:hAnsi="Arial Narrow" w:cs="Tahoma"/>
          <w:sz w:val="22"/>
          <w:lang w:val="sr-Cyrl-CS"/>
        </w:rPr>
        <w:t xml:space="preserve"> за </w:t>
      </w:r>
      <w:r w:rsidR="005F6D3F" w:rsidRPr="00EF1215">
        <w:rPr>
          <w:rFonts w:ascii="Arial Narrow" w:hAnsi="Arial Narrow" w:cs="Tahoma"/>
          <w:sz w:val="22"/>
          <w:lang w:val="sr-Cyrl-CS"/>
        </w:rPr>
        <w:t>0</w:t>
      </w:r>
      <w:r w:rsidR="00675807" w:rsidRPr="00EF1215">
        <w:rPr>
          <w:rFonts w:ascii="Arial Narrow" w:hAnsi="Arial Narrow" w:cs="Tahoma"/>
          <w:sz w:val="22"/>
          <w:lang w:val="sr-Cyrl-CS"/>
        </w:rPr>
        <w:t>,</w:t>
      </w:r>
      <w:r w:rsidR="009E40AA" w:rsidRPr="00EF1215">
        <w:rPr>
          <w:rFonts w:ascii="Arial Narrow" w:hAnsi="Arial Narrow" w:cs="Tahoma"/>
          <w:sz w:val="22"/>
          <w:lang w:val="sr-Cyrl-CS"/>
        </w:rPr>
        <w:t>3</w:t>
      </w:r>
      <w:r w:rsidR="00675807" w:rsidRPr="00EF1215">
        <w:rPr>
          <w:rFonts w:ascii="Arial Narrow" w:hAnsi="Arial Narrow" w:cs="Tahoma"/>
          <w:sz w:val="22"/>
          <w:lang w:val="sr-Cyrl-CS"/>
        </w:rPr>
        <w:t>%</w:t>
      </w:r>
      <w:r w:rsidRPr="00EF1215">
        <w:rPr>
          <w:rFonts w:ascii="Arial Narrow" w:hAnsi="Arial Narrow" w:cs="Tahoma"/>
          <w:sz w:val="22"/>
          <w:lang w:val="sr-Cyrl-CS"/>
        </w:rPr>
        <w:t>.</w:t>
      </w:r>
    </w:p>
    <w:p w:rsidR="00B747A8" w:rsidRPr="00EF1215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9E40AA" w:rsidRPr="00EF1215" w:rsidRDefault="009E40AA" w:rsidP="009E40AA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EF1215">
        <w:rPr>
          <w:rFonts w:ascii="Arial Narrow" w:hAnsi="Arial Narrow" w:cs="Tahoma"/>
          <w:sz w:val="22"/>
          <w:lang w:val="sr-Cyrl-CS"/>
        </w:rPr>
        <w:t xml:space="preserve">У 2016. години </w:t>
      </w:r>
      <w:r w:rsidRPr="00EF1215">
        <w:rPr>
          <w:rFonts w:ascii="Arial Narrow" w:hAnsi="Arial Narrow" w:cs="Tahoma"/>
          <w:sz w:val="22"/>
          <w:lang w:val="sr-Cyrl-BA"/>
        </w:rPr>
        <w:t>п</w:t>
      </w:r>
      <w:r w:rsidRPr="00EF1215">
        <w:rPr>
          <w:rFonts w:ascii="Arial Narrow" w:hAnsi="Arial Narrow" w:cs="Tahoma"/>
          <w:sz w:val="22"/>
          <w:lang w:val="sr-Cyrl-CS"/>
        </w:rPr>
        <w:t>росјечна</w:t>
      </w:r>
      <w:r w:rsidRPr="00EF1215">
        <w:rPr>
          <w:rFonts w:ascii="Arial Narrow" w:hAnsi="Arial Narrow" w:cs="Tahoma"/>
          <w:sz w:val="22"/>
          <w:lang w:val="ru-RU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>нето плата износи</w:t>
      </w:r>
      <w:r w:rsidR="00411786" w:rsidRPr="00EF1215">
        <w:rPr>
          <w:rFonts w:ascii="Arial Narrow" w:hAnsi="Arial Narrow" w:cs="Tahoma"/>
          <w:sz w:val="22"/>
          <w:lang w:val="sr-Cyrl-BA"/>
        </w:rPr>
        <w:t>ла је</w:t>
      </w:r>
      <w:r w:rsidRPr="00EF1215">
        <w:rPr>
          <w:rFonts w:ascii="Arial Narrow" w:hAnsi="Arial Narrow" w:cs="Tahoma"/>
          <w:sz w:val="22"/>
          <w:lang w:val="sr-Cyrl-CS"/>
        </w:rPr>
        <w:t xml:space="preserve"> 836 КМ, </w:t>
      </w:r>
      <w:r w:rsidRPr="00EF1215">
        <w:rPr>
          <w:rFonts w:ascii="Arial Narrow" w:hAnsi="Arial Narrow" w:cs="Tahoma"/>
          <w:sz w:val="22"/>
          <w:lang w:val="ru-RU"/>
        </w:rPr>
        <w:t>а п</w:t>
      </w:r>
      <w:r w:rsidRPr="00EF1215">
        <w:rPr>
          <w:rFonts w:ascii="Arial Narrow" w:hAnsi="Arial Narrow" w:cs="Tahoma"/>
          <w:sz w:val="22"/>
          <w:lang w:val="sr-Cyrl-CS"/>
        </w:rPr>
        <w:t>росјечна</w:t>
      </w:r>
      <w:r w:rsidRPr="00EF1215">
        <w:rPr>
          <w:rFonts w:ascii="Arial Narrow" w:hAnsi="Arial Narrow" w:cs="Tahoma"/>
          <w:sz w:val="22"/>
          <w:lang w:val="ru-RU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>бруто плата</w:t>
      </w:r>
      <w:r w:rsidRPr="00EF1215">
        <w:rPr>
          <w:rFonts w:ascii="Arial Narrow" w:hAnsi="Arial Narrow" w:cs="Tahoma"/>
          <w:sz w:val="22"/>
          <w:lang w:val="ru-RU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>1 344 КМ. У односу на 2015. годину, просјечна нето плата већа је номинално за 0,6%</w:t>
      </w:r>
      <w:r w:rsidRPr="00EF1215">
        <w:rPr>
          <w:rFonts w:ascii="Arial Narrow" w:hAnsi="Arial Narrow" w:cs="Tahoma"/>
          <w:sz w:val="22"/>
          <w:lang w:val="sr-Latn-BA"/>
        </w:rPr>
        <w:t>,</w:t>
      </w:r>
      <w:r w:rsidRPr="00EF1215">
        <w:rPr>
          <w:rFonts w:ascii="Arial Narrow" w:hAnsi="Arial Narrow" w:cs="Tahoma"/>
          <w:sz w:val="22"/>
          <w:lang w:val="sr-Cyrl-CS"/>
        </w:rPr>
        <w:t xml:space="preserve"> а реално за 1,8%.</w:t>
      </w:r>
    </w:p>
    <w:p w:rsidR="009E40AA" w:rsidRPr="00EF1215" w:rsidRDefault="009E40AA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E33D13" w:rsidRPr="00EF1215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EF1215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EF1215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9E40AA" w:rsidRPr="00EF1215">
        <w:rPr>
          <w:rFonts w:ascii="Arial Narrow" w:hAnsi="Arial Narrow" w:cs="Tahoma"/>
          <w:sz w:val="22"/>
          <w:lang w:val="sr-Cyrl-CS"/>
        </w:rPr>
        <w:t>дец</w:t>
      </w:r>
      <w:r w:rsidR="005F6D3F" w:rsidRPr="00EF1215">
        <w:rPr>
          <w:rFonts w:ascii="Arial Narrow" w:hAnsi="Arial Narrow" w:cs="Tahoma"/>
          <w:sz w:val="22"/>
          <w:lang w:val="sr-Cyrl-CS"/>
        </w:rPr>
        <w:t>ем</w:t>
      </w:r>
      <w:r w:rsidR="00D04679" w:rsidRPr="00EF1215">
        <w:rPr>
          <w:rFonts w:ascii="Arial Narrow" w:hAnsi="Arial Narrow" w:cs="Tahoma"/>
          <w:sz w:val="22"/>
          <w:lang w:val="sr-Cyrl-CS"/>
        </w:rPr>
        <w:t>бру</w:t>
      </w:r>
      <w:r w:rsidRPr="00EF1215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EF1215">
        <w:rPr>
          <w:rFonts w:ascii="Arial Narrow" w:hAnsi="Arial Narrow" w:cs="Tahoma"/>
          <w:sz w:val="22"/>
          <w:lang w:val="sr-Cyrl-CS"/>
        </w:rPr>
        <w:t>6</w:t>
      </w:r>
      <w:r w:rsidRPr="00EF1215">
        <w:rPr>
          <w:rFonts w:ascii="Arial Narrow" w:hAnsi="Arial Narrow" w:cs="Tahoma"/>
          <w:sz w:val="22"/>
          <w:lang w:val="sr-Cyrl-CS"/>
        </w:rPr>
        <w:t>. године, највиша просјечна нето плата исплаћена је у подручју</w:t>
      </w:r>
      <w:r w:rsidR="00671447" w:rsidRPr="00EF1215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EF1215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EF1215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EF1215">
        <w:rPr>
          <w:rFonts w:ascii="Arial Narrow" w:hAnsi="Arial Narrow" w:cs="Tahoma"/>
          <w:sz w:val="22"/>
          <w:lang w:val="sr-Cyrl-CS"/>
        </w:rPr>
        <w:t>ла је</w:t>
      </w:r>
      <w:r w:rsidRPr="00EF1215">
        <w:rPr>
          <w:rFonts w:ascii="Arial Narrow" w:hAnsi="Arial Narrow" w:cs="Tahoma"/>
          <w:sz w:val="22"/>
          <w:lang w:val="sr-Cyrl-CS"/>
        </w:rPr>
        <w:t xml:space="preserve"> 1 </w:t>
      </w:r>
      <w:r w:rsidR="005F6D3F" w:rsidRPr="00EF1215">
        <w:rPr>
          <w:rFonts w:ascii="Arial Narrow" w:hAnsi="Arial Narrow" w:cs="Tahoma"/>
          <w:sz w:val="22"/>
          <w:lang w:val="sr-Cyrl-CS"/>
        </w:rPr>
        <w:t>2</w:t>
      </w:r>
      <w:r w:rsidR="009E40AA" w:rsidRPr="00EF1215">
        <w:rPr>
          <w:rFonts w:ascii="Arial Narrow" w:hAnsi="Arial Narrow" w:cs="Tahoma"/>
          <w:sz w:val="22"/>
          <w:lang w:val="sr-Cyrl-CS"/>
        </w:rPr>
        <w:t>37</w:t>
      </w:r>
      <w:r w:rsidRPr="00EF1215">
        <w:rPr>
          <w:rFonts w:ascii="Arial Narrow" w:hAnsi="Arial Narrow" w:cs="Tahoma"/>
          <w:sz w:val="22"/>
          <w:lang w:val="sr-Cyrl-CS"/>
        </w:rPr>
        <w:t xml:space="preserve"> КМ</w:t>
      </w:r>
      <w:r w:rsidRPr="00EF1215">
        <w:rPr>
          <w:rFonts w:ascii="Arial Narrow" w:hAnsi="Arial Narrow" w:cs="Tahoma"/>
          <w:sz w:val="22"/>
          <w:lang w:val="sr-Latn-CS"/>
        </w:rPr>
        <w:t>. Са друге стране,</w:t>
      </w:r>
      <w:r w:rsidRPr="00EF1215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EF1215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EF1215">
        <w:rPr>
          <w:rFonts w:ascii="Arial Narrow" w:hAnsi="Arial Narrow" w:cs="Tahoma"/>
          <w:sz w:val="22"/>
          <w:lang w:val="sr-Cyrl-BA"/>
        </w:rPr>
        <w:t>нето</w:t>
      </w:r>
      <w:r w:rsidR="00F54DF7" w:rsidRPr="00EF1215">
        <w:rPr>
          <w:rFonts w:ascii="Arial Narrow" w:hAnsi="Arial Narrow" w:cs="Tahoma"/>
          <w:sz w:val="22"/>
          <w:lang w:val="sr-Latn-BA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 xml:space="preserve">плата у </w:t>
      </w:r>
      <w:r w:rsidR="009E40AA" w:rsidRPr="00EF1215">
        <w:rPr>
          <w:rFonts w:ascii="Arial Narrow" w:hAnsi="Arial Narrow" w:cs="Tahoma"/>
          <w:sz w:val="22"/>
          <w:lang w:val="sr-Cyrl-CS"/>
        </w:rPr>
        <w:t>дец</w:t>
      </w:r>
      <w:r w:rsidR="005F6D3F" w:rsidRPr="00EF1215">
        <w:rPr>
          <w:rFonts w:ascii="Arial Narrow" w:hAnsi="Arial Narrow" w:cs="Tahoma"/>
          <w:sz w:val="22"/>
          <w:lang w:val="sr-Cyrl-CS"/>
        </w:rPr>
        <w:t>ем</w:t>
      </w:r>
      <w:r w:rsidR="00D04679" w:rsidRPr="00EF1215">
        <w:rPr>
          <w:rFonts w:ascii="Arial Narrow" w:hAnsi="Arial Narrow" w:cs="Tahoma"/>
          <w:sz w:val="22"/>
          <w:lang w:val="sr-Cyrl-CS"/>
        </w:rPr>
        <w:t>бру</w:t>
      </w:r>
      <w:r w:rsidRPr="00EF1215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EF1215">
        <w:rPr>
          <w:rFonts w:ascii="Arial Narrow" w:hAnsi="Arial Narrow" w:cs="Tahoma"/>
          <w:sz w:val="22"/>
          <w:lang w:val="sr-Cyrl-CS"/>
        </w:rPr>
        <w:t>6</w:t>
      </w:r>
      <w:r w:rsidRPr="00EF1215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EF1215">
        <w:rPr>
          <w:rFonts w:ascii="Arial Narrow" w:hAnsi="Arial Narrow" w:cs="Tahoma"/>
          <w:sz w:val="22"/>
          <w:lang w:val="sr-Cyrl-CS"/>
        </w:rPr>
        <w:t>у</w:t>
      </w:r>
      <w:r w:rsidRPr="00EF1215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652176" w:rsidRPr="00EF1215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Pr="00EF1215">
        <w:rPr>
          <w:rFonts w:ascii="Arial Narrow" w:hAnsi="Arial Narrow" w:cs="Tahoma"/>
          <w:sz w:val="22"/>
          <w:lang w:val="sr-Cyrl-BA"/>
        </w:rPr>
        <w:t>5</w:t>
      </w:r>
      <w:r w:rsidR="009E40AA" w:rsidRPr="00EF1215">
        <w:rPr>
          <w:rFonts w:ascii="Arial Narrow" w:hAnsi="Arial Narrow" w:cs="Tahoma"/>
          <w:sz w:val="22"/>
          <w:lang w:val="sr-Cyrl-BA"/>
        </w:rPr>
        <w:t>23</w:t>
      </w:r>
      <w:r w:rsidRPr="00EF1215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EF1215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EF1215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EF1215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9E40AA" w:rsidRPr="00EF1215">
        <w:rPr>
          <w:rFonts w:ascii="Arial Narrow" w:hAnsi="Arial Narrow" w:cs="Tahoma"/>
          <w:sz w:val="22"/>
          <w:szCs w:val="22"/>
          <w:lang w:val="sr-Cyrl-CS"/>
        </w:rPr>
        <w:t>дец</w:t>
      </w:r>
      <w:r w:rsidR="005F6D3F" w:rsidRPr="00EF1215">
        <w:rPr>
          <w:rFonts w:ascii="Arial Narrow" w:hAnsi="Arial Narrow" w:cs="Tahoma"/>
          <w:sz w:val="22"/>
          <w:szCs w:val="22"/>
          <w:lang w:val="sr-Cyrl-CS"/>
        </w:rPr>
        <w:t>ем</w:t>
      </w:r>
      <w:r w:rsidR="00D04679" w:rsidRPr="00EF1215">
        <w:rPr>
          <w:rFonts w:ascii="Arial Narrow" w:hAnsi="Arial Narrow" w:cs="Tahoma"/>
          <w:sz w:val="22"/>
          <w:szCs w:val="22"/>
          <w:lang w:val="sr-Cyrl-CS"/>
        </w:rPr>
        <w:t>бру</w:t>
      </w:r>
      <w:r w:rsidR="000F053E" w:rsidRPr="00EF121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szCs w:val="22"/>
          <w:lang w:val="ru-RU"/>
        </w:rPr>
        <w:t>201</w:t>
      </w:r>
      <w:r w:rsidR="00E97195" w:rsidRPr="00EF1215">
        <w:rPr>
          <w:rFonts w:ascii="Arial Narrow" w:hAnsi="Arial Narrow" w:cs="Tahoma"/>
          <w:sz w:val="22"/>
          <w:szCs w:val="22"/>
          <w:lang w:val="ru-RU"/>
        </w:rPr>
        <w:t>6</w:t>
      </w:r>
      <w:r w:rsidRPr="00EF1215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9E40AA" w:rsidRPr="00EF1215">
        <w:rPr>
          <w:rFonts w:ascii="Arial Narrow" w:hAnsi="Arial Narrow" w:cs="Tahoma"/>
          <w:sz w:val="22"/>
          <w:szCs w:val="22"/>
          <w:lang w:val="ru-RU"/>
        </w:rPr>
        <w:t>новем</w:t>
      </w:r>
      <w:r w:rsidR="003E5596" w:rsidRPr="00EF1215">
        <w:rPr>
          <w:rFonts w:ascii="Arial Narrow" w:hAnsi="Arial Narrow" w:cs="Tahoma"/>
          <w:sz w:val="22"/>
          <w:szCs w:val="22"/>
          <w:lang w:val="sr-Cyrl-CS"/>
        </w:rPr>
        <w:t>бар</w:t>
      </w:r>
      <w:r w:rsidR="000F053E" w:rsidRPr="00EF121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szCs w:val="22"/>
          <w:lang w:val="ru-RU"/>
        </w:rPr>
        <w:t>201</w:t>
      </w:r>
      <w:r w:rsidR="009D0778" w:rsidRPr="00EF1215">
        <w:rPr>
          <w:rFonts w:ascii="Arial Narrow" w:hAnsi="Arial Narrow" w:cs="Tahoma"/>
          <w:sz w:val="22"/>
          <w:szCs w:val="22"/>
          <w:lang w:val="ru-RU"/>
        </w:rPr>
        <w:t>6</w:t>
      </w:r>
      <w:r w:rsidRPr="00EF1215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EF1215">
        <w:rPr>
          <w:rFonts w:ascii="Arial Narrow" w:hAnsi="Arial Narrow" w:cs="Tahoma"/>
          <w:sz w:val="22"/>
          <w:szCs w:val="22"/>
          <w:lang w:val="sr-Latn-CS"/>
        </w:rPr>
        <w:t>р</w:t>
      </w:r>
      <w:r w:rsidRPr="00EF1215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D04679" w:rsidRPr="00EF121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9E40AA" w:rsidRPr="00EF1215">
        <w:rPr>
          <w:rFonts w:ascii="Arial Narrow" w:hAnsi="Arial Narrow" w:cs="Tahoma"/>
          <w:i/>
          <w:sz w:val="22"/>
          <w:szCs w:val="22"/>
          <w:lang w:val="sr-Cyrl-BA"/>
        </w:rPr>
        <w:t xml:space="preserve">Остале услужне дјелатности </w:t>
      </w:r>
      <w:r w:rsidR="009E40AA" w:rsidRPr="00EF1215">
        <w:rPr>
          <w:rFonts w:ascii="Arial Narrow" w:hAnsi="Arial Narrow" w:cs="Tahoma"/>
          <w:sz w:val="22"/>
          <w:szCs w:val="22"/>
          <w:lang w:val="sr-Cyrl-BA"/>
        </w:rPr>
        <w:t>3,8%,</w:t>
      </w:r>
      <w:r w:rsidR="009E40AA" w:rsidRPr="00EF121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F6D3F" w:rsidRPr="00EF1215">
        <w:rPr>
          <w:rFonts w:ascii="Arial Narrow" w:hAnsi="Arial Narrow" w:cs="Tahoma"/>
          <w:i/>
          <w:sz w:val="22"/>
          <w:szCs w:val="22"/>
          <w:lang w:val="sr-Cyrl-BA"/>
        </w:rPr>
        <w:t>Пр</w:t>
      </w:r>
      <w:r w:rsidR="009E40AA" w:rsidRPr="00EF1215">
        <w:rPr>
          <w:rFonts w:ascii="Arial Narrow" w:hAnsi="Arial Narrow" w:cs="Tahoma"/>
          <w:i/>
          <w:sz w:val="22"/>
          <w:szCs w:val="22"/>
          <w:lang w:val="sr-Cyrl-BA"/>
        </w:rPr>
        <w:t>ерађивачка индустрија</w:t>
      </w:r>
      <w:r w:rsidR="00600D0E" w:rsidRPr="00EF121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F6D3F" w:rsidRPr="00EF1215">
        <w:rPr>
          <w:rFonts w:ascii="Arial Narrow" w:hAnsi="Arial Narrow" w:cs="Tahoma"/>
          <w:sz w:val="22"/>
          <w:szCs w:val="22"/>
          <w:lang w:val="sr-Cyrl-BA"/>
        </w:rPr>
        <w:t>1,</w:t>
      </w:r>
      <w:r w:rsidR="009E40AA" w:rsidRPr="00EF1215">
        <w:rPr>
          <w:rFonts w:ascii="Arial Narrow" w:hAnsi="Arial Narrow" w:cs="Tahoma"/>
          <w:sz w:val="22"/>
          <w:szCs w:val="22"/>
          <w:lang w:val="sr-Cyrl-BA"/>
        </w:rPr>
        <w:t>3</w:t>
      </w:r>
      <w:r w:rsidR="005F6D3F" w:rsidRPr="00EF1215">
        <w:rPr>
          <w:rFonts w:ascii="Arial Narrow" w:hAnsi="Arial Narrow" w:cs="Tahoma"/>
          <w:sz w:val="22"/>
          <w:szCs w:val="22"/>
          <w:lang w:val="sr-Cyrl-BA"/>
        </w:rPr>
        <w:t xml:space="preserve">% </w:t>
      </w:r>
      <w:r w:rsidR="00600D0E" w:rsidRPr="00EF1215">
        <w:rPr>
          <w:rFonts w:ascii="Arial Narrow" w:hAnsi="Arial Narrow" w:cs="Tahoma"/>
          <w:sz w:val="22"/>
          <w:szCs w:val="22"/>
          <w:lang w:val="sr-Cyrl-BA"/>
        </w:rPr>
        <w:t>и</w:t>
      </w:r>
      <w:r w:rsidR="005F6D3F" w:rsidRPr="00EF121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9E40AA" w:rsidRPr="00EF1215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600D0E" w:rsidRPr="00EF1215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600D0E" w:rsidRPr="00EF1215">
        <w:rPr>
          <w:rFonts w:ascii="Arial Narrow" w:hAnsi="Arial Narrow" w:cs="Tahoma"/>
          <w:sz w:val="22"/>
          <w:lang w:val="ru-RU"/>
        </w:rPr>
        <w:t>1</w:t>
      </w:r>
      <w:r w:rsidR="000B278C" w:rsidRPr="00EF1215">
        <w:rPr>
          <w:rFonts w:ascii="Arial Narrow" w:hAnsi="Arial Narrow" w:cs="Tahoma"/>
          <w:sz w:val="22"/>
          <w:szCs w:val="22"/>
          <w:lang w:val="sr-Cyrl-BA"/>
        </w:rPr>
        <w:t>,</w:t>
      </w:r>
      <w:r w:rsidR="009E40AA" w:rsidRPr="00EF1215">
        <w:rPr>
          <w:rFonts w:ascii="Arial Narrow" w:hAnsi="Arial Narrow" w:cs="Tahoma"/>
          <w:sz w:val="22"/>
          <w:szCs w:val="22"/>
          <w:lang w:val="sr-Cyrl-BA"/>
        </w:rPr>
        <w:t>1</w:t>
      </w:r>
      <w:r w:rsidR="000B278C" w:rsidRPr="00EF1215">
        <w:rPr>
          <w:rFonts w:ascii="Arial Narrow" w:hAnsi="Arial Narrow" w:cs="Tahoma"/>
          <w:sz w:val="22"/>
          <w:szCs w:val="22"/>
          <w:lang w:val="sr-Cyrl-BA"/>
        </w:rPr>
        <w:t>%</w:t>
      </w:r>
      <w:r w:rsidR="00600D0E" w:rsidRPr="00EF1215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FF3EA0" w:rsidRPr="00EF1215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EF1215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F1215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EF1215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EF1215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</w:t>
      </w:r>
      <w:r w:rsidR="001A1E7A" w:rsidRPr="00EF1215">
        <w:rPr>
          <w:rFonts w:ascii="Arial Narrow" w:hAnsi="Arial Narrow" w:cs="Tahoma"/>
          <w:sz w:val="22"/>
          <w:szCs w:val="22"/>
          <w:lang w:val="sr-Cyrl-CS"/>
        </w:rPr>
        <w:t>има</w:t>
      </w:r>
      <w:r w:rsidR="00D928E0" w:rsidRPr="00EF121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04D7E" w:rsidRPr="00EF1215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="009E40AA" w:rsidRPr="00EF1215">
        <w:rPr>
          <w:rFonts w:ascii="Arial Narrow" w:hAnsi="Arial Narrow" w:cs="Tahoma"/>
          <w:sz w:val="22"/>
          <w:lang w:val="sr-Cyrl-CS"/>
        </w:rPr>
        <w:t>3</w:t>
      </w:r>
      <w:r w:rsidR="00B04D7E" w:rsidRPr="00EF1215">
        <w:rPr>
          <w:rFonts w:ascii="Arial Narrow" w:hAnsi="Arial Narrow" w:cs="Tahoma"/>
          <w:sz w:val="22"/>
          <w:lang w:val="sr-Cyrl-CS"/>
        </w:rPr>
        <w:t>,</w:t>
      </w:r>
      <w:r w:rsidR="009E40AA" w:rsidRPr="00EF1215">
        <w:rPr>
          <w:rFonts w:ascii="Arial Narrow" w:hAnsi="Arial Narrow" w:cs="Tahoma"/>
          <w:sz w:val="22"/>
          <w:lang w:val="sr-Cyrl-CS"/>
        </w:rPr>
        <w:t>4</w:t>
      </w:r>
      <w:r w:rsidR="00B04D7E" w:rsidRPr="00EF1215">
        <w:rPr>
          <w:rFonts w:ascii="Arial Narrow" w:hAnsi="Arial Narrow" w:cs="Tahoma"/>
          <w:i/>
          <w:sz w:val="22"/>
          <w:lang w:val="sr-Cyrl-CS"/>
        </w:rPr>
        <w:t xml:space="preserve">%, </w:t>
      </w:r>
      <w:r w:rsidR="009E40AA" w:rsidRPr="00EF1215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</w:t>
      </w:r>
      <w:r w:rsidR="009E40AA" w:rsidRPr="00EF1215">
        <w:rPr>
          <w:rFonts w:ascii="Arial Narrow" w:hAnsi="Arial Narrow" w:cs="Tahoma"/>
          <w:sz w:val="22"/>
          <w:szCs w:val="22"/>
          <w:lang w:val="sr-Cyrl-BA"/>
        </w:rPr>
        <w:t xml:space="preserve"> 2,4%, </w:t>
      </w:r>
      <w:r w:rsidR="00B04D7E" w:rsidRPr="00EF1215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9E40AA" w:rsidRPr="00EF1215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3E5596" w:rsidRPr="00EF121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9E40AA" w:rsidRPr="00EF1215">
        <w:rPr>
          <w:rFonts w:ascii="Arial Narrow" w:hAnsi="Arial Narrow" w:cs="Tahoma"/>
          <w:sz w:val="22"/>
          <w:szCs w:val="22"/>
          <w:lang w:val="sr-Cyrl-BA"/>
        </w:rPr>
        <w:t>1</w:t>
      </w:r>
      <w:r w:rsidR="003E5596" w:rsidRPr="00EF1215">
        <w:rPr>
          <w:rFonts w:ascii="Arial Narrow" w:hAnsi="Arial Narrow" w:cs="Tahoma"/>
          <w:sz w:val="22"/>
          <w:szCs w:val="22"/>
          <w:lang w:val="sr-Cyrl-BA"/>
        </w:rPr>
        <w:t>,</w:t>
      </w:r>
      <w:r w:rsidR="009E40AA" w:rsidRPr="00EF1215">
        <w:rPr>
          <w:rFonts w:ascii="Arial Narrow" w:hAnsi="Arial Narrow" w:cs="Tahoma"/>
          <w:sz w:val="22"/>
          <w:szCs w:val="22"/>
          <w:lang w:val="sr-Cyrl-BA"/>
        </w:rPr>
        <w:t>0</w:t>
      </w:r>
      <w:r w:rsidR="003E5596" w:rsidRPr="00EF1215">
        <w:rPr>
          <w:rFonts w:ascii="Arial Narrow" w:hAnsi="Arial Narrow" w:cs="Tahoma"/>
          <w:sz w:val="22"/>
          <w:szCs w:val="22"/>
          <w:lang w:val="sr-Cyrl-BA"/>
        </w:rPr>
        <w:t>%</w:t>
      </w:r>
      <w:r w:rsidR="00B04D7E" w:rsidRPr="00EF1215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396802" w:rsidRPr="00EF1215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EF1215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F1215">
        <w:rPr>
          <w:rFonts w:ascii="Tahoma" w:hAnsi="Tahoma" w:cs="Tahoma"/>
          <w:i/>
          <w:sz w:val="14"/>
          <w:lang w:val="sr-Cyrl-CS"/>
        </w:rPr>
        <w:t xml:space="preserve"> </w:t>
      </w:r>
      <w:r w:rsidRPr="00EF1215">
        <w:rPr>
          <w:rFonts w:ascii="Tahoma" w:hAnsi="Tahoma" w:cs="Tahoma"/>
          <w:sz w:val="14"/>
          <w:lang w:val="sr-Cyrl-CS"/>
        </w:rPr>
        <w:t xml:space="preserve">   </w:t>
      </w:r>
      <w:r w:rsidRPr="00EF1215">
        <w:rPr>
          <w:rFonts w:ascii="Tahoma" w:hAnsi="Tahoma" w:cs="Tahoma"/>
          <w:sz w:val="14"/>
          <w:lang w:val="sr-Latn-CS"/>
        </w:rPr>
        <w:tab/>
      </w:r>
      <w:r w:rsidRPr="00EF1215">
        <w:rPr>
          <w:rFonts w:ascii="Tahoma" w:hAnsi="Tahoma" w:cs="Tahoma"/>
          <w:sz w:val="14"/>
          <w:lang w:val="sr-Latn-CS"/>
        </w:rPr>
        <w:tab/>
      </w:r>
      <w:r w:rsidRPr="00EF1215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EF1215">
        <w:rPr>
          <w:rFonts w:ascii="Tahoma" w:hAnsi="Tahoma" w:cs="Tahoma"/>
          <w:sz w:val="14"/>
          <w:lang w:val="sr-Cyrl-BA"/>
        </w:rPr>
        <w:t xml:space="preserve">   </w:t>
      </w:r>
      <w:r w:rsidRPr="00EF1215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EF1215" w:rsidRDefault="00AD485B" w:rsidP="00E33D13">
      <w:pPr>
        <w:jc w:val="center"/>
        <w:rPr>
          <w:rFonts w:ascii="Tahoma" w:hAnsi="Tahoma" w:cs="Tahoma"/>
          <w:lang w:val="sr-Cyrl-BA"/>
        </w:rPr>
      </w:pPr>
      <w:r w:rsidRPr="00EF1215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1022086</wp:posOffset>
            </wp:positionH>
            <wp:positionV relativeFrom="paragraph">
              <wp:posOffset>2061210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EF1215">
        <w:rPr>
          <w:rFonts w:ascii="Tahoma" w:hAnsi="Tahoma" w:cs="Tahoma"/>
          <w:szCs w:val="18"/>
          <w:lang w:val="sr-Cyrl-BA"/>
        </w:rPr>
        <w:t xml:space="preserve">   </w:t>
      </w:r>
      <w:r w:rsidR="009E40AA" w:rsidRPr="00EF1215">
        <w:rPr>
          <w:noProof/>
        </w:rPr>
        <w:drawing>
          <wp:inline distT="0" distB="0" distL="0" distR="0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EF1215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EF1215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EF1215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EF1215">
        <w:rPr>
          <w:rFonts w:ascii="Arial Narrow" w:hAnsi="Arial Narrow" w:cs="Tahoma"/>
          <w:sz w:val="16"/>
          <w:szCs w:val="22"/>
          <w:lang w:val="sr-Latn-BA"/>
        </w:rPr>
        <w:t>1</w:t>
      </w:r>
      <w:r w:rsidRPr="00EF1215">
        <w:rPr>
          <w:rFonts w:ascii="Arial Narrow" w:hAnsi="Arial Narrow" w:cs="Tahoma"/>
          <w:sz w:val="16"/>
          <w:szCs w:val="22"/>
          <w:lang w:val="sr-Cyrl-CS"/>
        </w:rPr>
        <w:t>.</w:t>
      </w:r>
      <w:r w:rsidRPr="00EF1215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EF1215">
        <w:rPr>
          <w:rFonts w:ascii="Arial Narrow" w:hAnsi="Arial Narrow" w:cs="Tahoma"/>
          <w:sz w:val="16"/>
          <w:szCs w:val="22"/>
          <w:lang w:val="sr-Cyrl-CS"/>
        </w:rPr>
        <w:t>П</w:t>
      </w:r>
      <w:r w:rsidRPr="00EF1215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EF1215">
        <w:rPr>
          <w:rFonts w:ascii="Arial Narrow" w:hAnsi="Arial Narrow" w:cs="Tahoma"/>
          <w:sz w:val="16"/>
          <w:szCs w:val="22"/>
        </w:rPr>
        <w:t>e</w:t>
      </w:r>
      <w:r w:rsidRPr="00EF1215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EF1215">
        <w:rPr>
          <w:rFonts w:ascii="Arial Narrow" w:hAnsi="Arial Narrow" w:cs="Tahoma"/>
          <w:sz w:val="16"/>
          <w:szCs w:val="22"/>
        </w:rPr>
        <w:t>e</w:t>
      </w:r>
      <w:r w:rsidRPr="00EF1215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EF1215" w:rsidRDefault="00BE051D">
      <w:pPr>
        <w:rPr>
          <w:rFonts w:ascii="Arial Narrow" w:hAnsi="Arial Narrow" w:cs="Tahoma"/>
          <w:sz w:val="22"/>
          <w:lang w:val="sr-Latn-BA"/>
        </w:rPr>
      </w:pPr>
    </w:p>
    <w:p w:rsidR="004832EC" w:rsidRPr="00EF1215" w:rsidRDefault="004832EC">
      <w:pPr>
        <w:rPr>
          <w:rFonts w:ascii="Arial Narrow" w:hAnsi="Arial Narrow" w:cs="Tahoma"/>
          <w:sz w:val="22"/>
          <w:lang w:val="sr-Latn-BA"/>
        </w:rPr>
      </w:pPr>
    </w:p>
    <w:p w:rsidR="00A67668" w:rsidRPr="00EF1215" w:rsidRDefault="00A67668">
      <w:pPr>
        <w:rPr>
          <w:rFonts w:ascii="Arial Narrow" w:hAnsi="Arial Narrow" w:cs="Tahoma"/>
          <w:sz w:val="22"/>
          <w:lang w:val="sr-Latn-BA"/>
        </w:rPr>
      </w:pPr>
    </w:p>
    <w:p w:rsidR="00A67668" w:rsidRPr="00EF1215" w:rsidRDefault="00A67668">
      <w:pPr>
        <w:rPr>
          <w:rFonts w:ascii="Arial Narrow" w:hAnsi="Arial Narrow" w:cs="Tahoma"/>
          <w:sz w:val="22"/>
          <w:lang w:val="sr-Latn-BA"/>
        </w:rPr>
      </w:pPr>
    </w:p>
    <w:p w:rsidR="00AD0CFD" w:rsidRPr="00EF1215" w:rsidRDefault="00AD0CFD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EF1215">
        <w:rPr>
          <w:rFonts w:ascii="Arial Narrow" w:hAnsi="Arial Narrow" w:cs="Tahoma"/>
          <w:b/>
          <w:sz w:val="30"/>
          <w:szCs w:val="30"/>
          <w:lang w:val="sr-Cyrl-BA"/>
        </w:rPr>
        <w:lastRenderedPageBreak/>
        <w:t xml:space="preserve">Мјесечна инфлација у </w:t>
      </w:r>
      <w:r w:rsidR="000744B4" w:rsidRPr="00EF1215">
        <w:rPr>
          <w:rFonts w:ascii="Arial Narrow" w:hAnsi="Arial Narrow" w:cs="Tahoma"/>
          <w:b/>
          <w:sz w:val="30"/>
          <w:szCs w:val="30"/>
          <w:lang w:val="sr-Cyrl-BA"/>
        </w:rPr>
        <w:t>дец</w:t>
      </w:r>
      <w:r w:rsidRPr="00EF1215">
        <w:rPr>
          <w:rFonts w:ascii="Arial Narrow" w:hAnsi="Arial Narrow" w:cs="Tahoma"/>
          <w:b/>
          <w:sz w:val="30"/>
          <w:szCs w:val="30"/>
          <w:lang w:val="sr-Cyrl-BA"/>
        </w:rPr>
        <w:t xml:space="preserve">ембру 2016. године </w:t>
      </w:r>
      <w:r w:rsidR="000744B4" w:rsidRPr="00EF1215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Pr="00EF1215">
        <w:rPr>
          <w:rFonts w:ascii="Arial Narrow" w:hAnsi="Arial Narrow" w:cs="Tahoma"/>
          <w:b/>
          <w:sz w:val="30"/>
          <w:szCs w:val="30"/>
          <w:lang w:val="sr-Cyrl-BA"/>
        </w:rPr>
        <w:t>0,1%</w:t>
      </w:r>
    </w:p>
    <w:p w:rsidR="00AD0CFD" w:rsidRPr="00EF1215" w:rsidRDefault="00AD0CFD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EF1215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Pr="00EF1215">
        <w:rPr>
          <w:rFonts w:ascii="Arial Narrow" w:hAnsi="Arial Narrow" w:cs="Tahoma"/>
          <w:b/>
          <w:sz w:val="30"/>
          <w:szCs w:val="30"/>
          <w:lang w:val="sr-Cyrl-CS"/>
        </w:rPr>
        <w:t>X</w:t>
      </w:r>
      <w:r w:rsidRPr="00EF1215">
        <w:rPr>
          <w:rFonts w:ascii="Arial Narrow" w:hAnsi="Arial Narrow" w:cs="Tahoma"/>
          <w:b/>
          <w:sz w:val="30"/>
          <w:szCs w:val="30"/>
        </w:rPr>
        <w:t>I</w:t>
      </w:r>
      <w:r w:rsidR="000744B4" w:rsidRPr="00EF1215">
        <w:rPr>
          <w:rFonts w:ascii="Arial Narrow" w:hAnsi="Arial Narrow" w:cs="Tahoma"/>
          <w:b/>
          <w:sz w:val="30"/>
          <w:szCs w:val="30"/>
        </w:rPr>
        <w:t>I</w:t>
      </w:r>
      <w:r w:rsidRPr="00EF1215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 w:rsidRPr="00EF1215">
        <w:rPr>
          <w:rFonts w:ascii="Arial Narrow" w:hAnsi="Arial Narrow" w:cs="Tahoma"/>
          <w:b/>
          <w:sz w:val="30"/>
          <w:szCs w:val="30"/>
          <w:lang w:val="sr-Latn-BA"/>
        </w:rPr>
        <w:t>XI</w:t>
      </w:r>
      <w:r w:rsidR="000744B4" w:rsidRPr="00EF1215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0744B4" w:rsidRPr="00EF1215">
        <w:rPr>
          <w:rFonts w:ascii="Arial Narrow" w:hAnsi="Arial Narrow" w:cs="Tahoma"/>
          <w:b/>
          <w:sz w:val="30"/>
          <w:szCs w:val="30"/>
          <w:lang w:val="sr-Cyrl-BA"/>
        </w:rPr>
        <w:t xml:space="preserve"> 2015) -0,2</w:t>
      </w:r>
      <w:r w:rsidRPr="00EF1215">
        <w:rPr>
          <w:rFonts w:ascii="Arial Narrow" w:hAnsi="Arial Narrow" w:cs="Tahoma"/>
          <w:b/>
          <w:sz w:val="30"/>
          <w:szCs w:val="30"/>
          <w:lang w:val="sr-Cyrl-BA"/>
        </w:rPr>
        <w:t>%</w:t>
      </w:r>
    </w:p>
    <w:p w:rsidR="00AD0CFD" w:rsidRPr="00EF1215" w:rsidRDefault="00AD0CFD" w:rsidP="00AD0CF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</w:p>
    <w:p w:rsidR="00AD0CFD" w:rsidRPr="00EF1215" w:rsidRDefault="00AD0CFD" w:rsidP="00AD0CFD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="000744B4" w:rsidRPr="00EF1215">
        <w:rPr>
          <w:rFonts w:ascii="Arial Narrow" w:hAnsi="Arial Narrow" w:cs="Tahoma"/>
          <w:sz w:val="22"/>
          <w:szCs w:val="22"/>
          <w:lang w:val="sr-Cyrl-CS"/>
        </w:rPr>
        <w:t>дец</w:t>
      </w:r>
      <w:r w:rsidRPr="00EF1215">
        <w:rPr>
          <w:rFonts w:ascii="Arial Narrow" w:hAnsi="Arial Narrow" w:cs="Tahoma"/>
          <w:sz w:val="22"/>
          <w:szCs w:val="22"/>
          <w:lang w:val="sr-Cyrl-CS"/>
        </w:rPr>
        <w:t>ембру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 2016. године у односу на претходни мјесец у просјеку су </w:t>
      </w:r>
      <w:r w:rsidR="000744B4" w:rsidRPr="00EF1215">
        <w:rPr>
          <w:rFonts w:ascii="Arial Narrow" w:hAnsi="Arial Narrow" w:cs="Tahoma"/>
          <w:sz w:val="22"/>
          <w:szCs w:val="22"/>
          <w:lang w:val="sr-Cyrl-BA"/>
        </w:rPr>
        <w:t>ниж</w:t>
      </w:r>
      <w:r w:rsidRPr="00EF1215">
        <w:rPr>
          <w:rFonts w:ascii="Arial Narrow" w:hAnsi="Arial Narrow" w:cs="Tahoma"/>
          <w:sz w:val="22"/>
          <w:szCs w:val="22"/>
          <w:lang w:val="sr-Cyrl-BA"/>
        </w:rPr>
        <w:t>е за 0,1%</w:t>
      </w:r>
      <w:r w:rsidRPr="00EF1215">
        <w:rPr>
          <w:rFonts w:ascii="Arial Narrow" w:hAnsi="Arial Narrow" w:cs="Tahoma"/>
          <w:sz w:val="22"/>
          <w:szCs w:val="22"/>
          <w:lang w:val="sr-Latn-BA"/>
        </w:rPr>
        <w:t>,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 док су на годиш</w:t>
      </w:r>
      <w:r w:rsidR="000744B4" w:rsidRPr="00EF1215">
        <w:rPr>
          <w:rFonts w:ascii="Arial Narrow" w:hAnsi="Arial Narrow" w:cs="Tahoma"/>
          <w:sz w:val="22"/>
          <w:szCs w:val="22"/>
          <w:lang w:val="sr-Cyrl-BA"/>
        </w:rPr>
        <w:t>њем нивоу у просјеку ниже за 0,2</w:t>
      </w:r>
      <w:r w:rsidRPr="00EF1215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AD0CFD" w:rsidRPr="00EF1215" w:rsidRDefault="00AD0CFD" w:rsidP="00AD0CF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забиљежене су у </w:t>
      </w:r>
      <w:r w:rsidR="000744B4" w:rsidRPr="00EF1215">
        <w:rPr>
          <w:rFonts w:ascii="Arial Narrow" w:hAnsi="Arial Narrow" w:cs="Tahoma"/>
          <w:sz w:val="22"/>
          <w:szCs w:val="22"/>
          <w:lang w:val="sr-Cyrl-BA"/>
        </w:rPr>
        <w:t>пе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т, ниже цијене у три, док су цијене у </w:t>
      </w:r>
      <w:r w:rsidR="000744B4" w:rsidRPr="00EF1215">
        <w:rPr>
          <w:rFonts w:ascii="Arial Narrow" w:hAnsi="Arial Narrow" w:cs="Tahoma"/>
          <w:sz w:val="22"/>
          <w:szCs w:val="22"/>
          <w:lang w:val="sr-Cyrl-BA"/>
        </w:rPr>
        <w:t>чети</w:t>
      </w:r>
      <w:r w:rsidRPr="00EF1215">
        <w:rPr>
          <w:rFonts w:ascii="Arial Narrow" w:hAnsi="Arial Narrow" w:cs="Tahoma"/>
          <w:sz w:val="22"/>
          <w:szCs w:val="22"/>
          <w:lang w:val="sr-Cyrl-BA"/>
        </w:rPr>
        <w:t>ри одјељка, у просјеку остале непромијењене.</w:t>
      </w:r>
    </w:p>
    <w:p w:rsidR="00AD0CFD" w:rsidRPr="00EF1215" w:rsidRDefault="00AD0CFD" w:rsidP="00AD0CFD">
      <w:pPr>
        <w:jc w:val="both"/>
        <w:rPr>
          <w:rFonts w:ascii="Tahoma" w:hAnsi="Tahoma" w:cs="Tahoma"/>
          <w:lang w:val="sr-Cyrl-BA"/>
        </w:rPr>
      </w:pPr>
    </w:p>
    <w:p w:rsidR="000744B4" w:rsidRPr="00EF1215" w:rsidRDefault="000744B4" w:rsidP="000744B4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F1215">
        <w:rPr>
          <w:rFonts w:ascii="Arial Narrow" w:hAnsi="Arial Narrow" w:cs="Tahoma"/>
          <w:sz w:val="22"/>
          <w:szCs w:val="22"/>
          <w:lang w:val="sr-Cyrl-BA"/>
        </w:rPr>
        <w:t>Највећи раст цијена у децембру забиљежен је у</w:t>
      </w:r>
      <w:r w:rsidRPr="00EF121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EF1215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EF1215">
        <w:rPr>
          <w:rFonts w:ascii="Arial Narrow" w:hAnsi="Arial Narrow" w:cs="Tahoma"/>
          <w:i/>
          <w:sz w:val="22"/>
          <w:szCs w:val="22"/>
          <w:lang w:val="sr-Cyrl-BA"/>
        </w:rPr>
        <w:t xml:space="preserve"> Превоз 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од 0,7% усљед виших набавних цијена у групи горива и мазива (1,4%), затим у одјељку </w:t>
      </w:r>
      <w:r w:rsidRPr="00EF1215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 (0,4%) због виших добављачких цијена у групи фармацеутски производи од 0,5%. У одјељку </w:t>
      </w:r>
      <w:r w:rsidRPr="00EF1215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 (0,3%) више цијене забиљежене су у групи производи за чишћење и редовно одржавање куће (1,2%) усљед нових набавки и краја периода акцијских цијена. Нешто блажи раст од 0,1% забиљежен је у одјељку</w:t>
      </w:r>
      <w:r w:rsidRPr="00EF1215">
        <w:rPr>
          <w:rFonts w:ascii="Arial Narrow" w:hAnsi="Arial Narrow" w:cs="Tahoma"/>
          <w:i/>
          <w:sz w:val="22"/>
          <w:szCs w:val="22"/>
          <w:lang w:val="sr-Cyrl-BA"/>
        </w:rPr>
        <w:t xml:space="preserve"> Рекреација и Култура, 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као и у одјељку </w:t>
      </w:r>
      <w:r w:rsidRPr="00EF1215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EF1215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0744B4" w:rsidRPr="00EF1215" w:rsidRDefault="000744B4" w:rsidP="000744B4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744B4" w:rsidRPr="00EF1215" w:rsidRDefault="000744B4" w:rsidP="000744B4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F1215">
        <w:rPr>
          <w:rFonts w:ascii="Arial Narrow" w:hAnsi="Arial Narrow" w:cs="Tahoma"/>
          <w:sz w:val="22"/>
          <w:szCs w:val="22"/>
          <w:lang w:val="sr-Cyrl-BA"/>
        </w:rPr>
        <w:t>У одјељцима:</w:t>
      </w:r>
      <w:r w:rsidRPr="00EF1215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пића, Становање, Комуникације </w:t>
      </w:r>
      <w:r w:rsidRPr="00EF1215">
        <w:rPr>
          <w:rFonts w:ascii="Arial Narrow" w:hAnsi="Arial Narrow" w:cs="Tahoma"/>
          <w:sz w:val="22"/>
          <w:szCs w:val="22"/>
          <w:lang w:val="sr-Cyrl-BA"/>
        </w:rPr>
        <w:t>и</w:t>
      </w:r>
      <w:r w:rsidRPr="00EF1215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 </w:t>
      </w:r>
      <w:r w:rsidRPr="00EF1215">
        <w:rPr>
          <w:rFonts w:ascii="Arial Narrow" w:hAnsi="Arial Narrow" w:cs="Tahoma"/>
          <w:sz w:val="22"/>
          <w:szCs w:val="22"/>
          <w:lang w:val="sr-Cyrl-BA"/>
        </w:rPr>
        <w:t>цијене су, у просјеку остале непромијењене.</w:t>
      </w:r>
    </w:p>
    <w:p w:rsidR="000744B4" w:rsidRPr="00EF1215" w:rsidRDefault="000744B4" w:rsidP="000744B4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0744B4" w:rsidRPr="00EF1215" w:rsidRDefault="000744B4" w:rsidP="000744B4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EF1215">
        <w:rPr>
          <w:rFonts w:ascii="Arial Narrow" w:hAnsi="Arial Narrow" w:cs="Tahoma"/>
          <w:sz w:val="22"/>
          <w:szCs w:val="22"/>
          <w:lang w:val="sr-Cyrl-BA"/>
        </w:rPr>
        <w:t>Нај</w:t>
      </w:r>
      <w:r w:rsidR="00411786" w:rsidRPr="00EF1215">
        <w:rPr>
          <w:rFonts w:ascii="Arial Narrow" w:hAnsi="Arial Narrow" w:cs="Tahoma"/>
          <w:sz w:val="22"/>
          <w:szCs w:val="22"/>
          <w:lang w:val="sr-Cyrl-BA"/>
        </w:rPr>
        <w:t>већи пад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 цијен</w:t>
      </w:r>
      <w:r w:rsidR="00411786" w:rsidRPr="00EF1215">
        <w:rPr>
          <w:rFonts w:ascii="Arial Narrow" w:hAnsi="Arial Narrow" w:cs="Tahoma"/>
          <w:sz w:val="22"/>
          <w:szCs w:val="22"/>
          <w:lang w:val="sr-Cyrl-BA"/>
        </w:rPr>
        <w:t>а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 у </w:t>
      </w:r>
      <w:r w:rsidRPr="00EF1215">
        <w:rPr>
          <w:rFonts w:ascii="Arial Narrow" w:hAnsi="Arial Narrow" w:cs="Tahoma"/>
          <w:sz w:val="22"/>
          <w:szCs w:val="22"/>
          <w:lang w:val="sr-Cyrl-CS"/>
        </w:rPr>
        <w:t>децембру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 забиљежен </w:t>
      </w:r>
      <w:r w:rsidR="00411786" w:rsidRPr="00EF1215">
        <w:rPr>
          <w:rFonts w:ascii="Arial Narrow" w:hAnsi="Arial Narrow" w:cs="Tahoma"/>
          <w:sz w:val="22"/>
          <w:szCs w:val="22"/>
          <w:lang w:val="sr-Cyrl-BA"/>
        </w:rPr>
        <w:t>је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 у одјељку </w:t>
      </w:r>
      <w:r w:rsidRPr="00EF1215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 (3,7%) усљед великог броја снижења (почетак сезонских и новогодишњих попуста), затим у одјељку</w:t>
      </w:r>
      <w:r w:rsidRPr="00EF1215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Остала добра и услуге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 (0,7%) усљед акцијских цијена и других попуста у групи производи за личну хигијену,</w:t>
      </w:r>
      <w:r w:rsidRPr="00EF1215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те у одјељку </w:t>
      </w:r>
      <w:r w:rsidRPr="00EF1215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 (0,1%).</w:t>
      </w:r>
    </w:p>
    <w:p w:rsidR="00DD5DBB" w:rsidRPr="00EF1215" w:rsidRDefault="00DD5DBB" w:rsidP="00B8018B">
      <w:pPr>
        <w:jc w:val="both"/>
        <w:rPr>
          <w:rFonts w:ascii="Tahoma" w:hAnsi="Tahoma" w:cs="Tahoma"/>
          <w:lang w:val="sr-Cyrl-BA"/>
        </w:rPr>
      </w:pPr>
    </w:p>
    <w:p w:rsidR="00662317" w:rsidRPr="00EF1215" w:rsidRDefault="004D661D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EF1215">
        <w:rPr>
          <w:noProof/>
        </w:rPr>
        <w:drawing>
          <wp:inline distT="0" distB="0" distL="0" distR="0" wp14:anchorId="6A00184B" wp14:editId="6913927B">
            <wp:extent cx="5467350" cy="2536190"/>
            <wp:effectExtent l="0" t="0" r="0" b="1651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56D8" w:rsidRPr="00EF1215" w:rsidRDefault="009856D8" w:rsidP="009856D8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EF1215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C07571" w:rsidRPr="00EF1215">
        <w:rPr>
          <w:rFonts w:ascii="Arial Narrow" w:hAnsi="Arial Narrow" w:cs="Tahoma"/>
          <w:sz w:val="16"/>
          <w:szCs w:val="16"/>
          <w:lang w:val="sr-Cyrl-BA"/>
        </w:rPr>
        <w:t>2</w:t>
      </w:r>
      <w:r w:rsidRPr="00EF1215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A67668" w:rsidRPr="00EF1215" w:rsidRDefault="00A6766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7A0558" w:rsidRPr="00EF1215" w:rsidRDefault="007A0558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EF1215" w:rsidRDefault="00F06D21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BA"/>
        </w:rPr>
      </w:pPr>
      <w:r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EF1215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="009C625E" w:rsidRPr="00EF1215">
        <w:rPr>
          <w:rFonts w:ascii="Arial Narrow" w:hAnsi="Arial Narrow" w:cs="Tahoma"/>
          <w:b/>
          <w:sz w:val="30"/>
          <w:szCs w:val="30"/>
        </w:rPr>
        <w:t>X</w:t>
      </w:r>
      <w:r w:rsidR="007E1334" w:rsidRPr="00EF1215">
        <w:rPr>
          <w:rFonts w:ascii="Arial Narrow" w:hAnsi="Arial Narrow" w:cs="Tahoma"/>
          <w:b/>
          <w:sz w:val="30"/>
          <w:szCs w:val="30"/>
        </w:rPr>
        <w:t>I</w:t>
      </w:r>
      <w:r w:rsidR="00153DA6" w:rsidRPr="00EF1215">
        <w:rPr>
          <w:rFonts w:ascii="Arial Narrow" w:hAnsi="Arial Narrow" w:cs="Tahoma"/>
          <w:b/>
          <w:sz w:val="30"/>
          <w:szCs w:val="30"/>
        </w:rPr>
        <w:t>I</w:t>
      </w:r>
      <w:r w:rsidRPr="00EF1215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EF1215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EF1215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="009034C3" w:rsidRPr="00EF1215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9C625E" w:rsidRPr="00EF1215">
        <w:rPr>
          <w:rFonts w:ascii="Arial Narrow" w:hAnsi="Arial Narrow" w:cs="Tahoma"/>
          <w:b/>
          <w:sz w:val="30"/>
          <w:szCs w:val="30"/>
          <w:lang w:val="sr-Latn-BA"/>
        </w:rPr>
        <w:t>X</w:t>
      </w:r>
      <w:r w:rsidR="007E1334" w:rsidRPr="00EF1215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="00153DA6" w:rsidRPr="00EF1215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EF1215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EF1215">
        <w:rPr>
          <w:rFonts w:ascii="Arial Narrow" w:hAnsi="Arial Narrow" w:cs="Tahoma"/>
          <w:b/>
          <w:bCs/>
          <w:sz w:val="30"/>
          <w:szCs w:val="30"/>
          <w:lang w:val="sr-Latn-BA"/>
        </w:rPr>
        <w:t>5.</w:t>
      </w:r>
      <w:r w:rsidRPr="00EF1215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7E1334" w:rsidRPr="00EF1215">
        <w:rPr>
          <w:rFonts w:ascii="Arial Narrow" w:hAnsi="Arial Narrow" w:cs="Tahoma"/>
          <w:b/>
          <w:bCs/>
          <w:sz w:val="30"/>
          <w:szCs w:val="30"/>
        </w:rPr>
        <w:t>20</w:t>
      </w:r>
      <w:r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7E1334" w:rsidRPr="00EF1215">
        <w:rPr>
          <w:rFonts w:ascii="Arial Narrow" w:hAnsi="Arial Narrow" w:cs="Tahoma"/>
          <w:b/>
          <w:bCs/>
          <w:sz w:val="30"/>
          <w:szCs w:val="30"/>
        </w:rPr>
        <w:t>0</w:t>
      </w:r>
      <w:r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53DA6" w:rsidRPr="00EF1215" w:rsidRDefault="00153DA6" w:rsidP="00153DA6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BA"/>
        </w:rPr>
      </w:pPr>
      <w:r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Десезонирана </w:t>
      </w:r>
      <w:r w:rsidRPr="00EF1215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EF1215">
        <w:rPr>
          <w:rFonts w:ascii="Arial Narrow" w:hAnsi="Arial Narrow" w:cs="Tahoma"/>
          <w:b/>
          <w:sz w:val="30"/>
          <w:szCs w:val="30"/>
        </w:rPr>
        <w:t>X</w:t>
      </w:r>
      <w:r w:rsidR="007E1334" w:rsidRPr="00EF1215">
        <w:rPr>
          <w:rFonts w:ascii="Arial Narrow" w:hAnsi="Arial Narrow" w:cs="Tahoma"/>
          <w:b/>
          <w:sz w:val="30"/>
          <w:szCs w:val="30"/>
        </w:rPr>
        <w:t>I</w:t>
      </w:r>
      <w:r w:rsidRPr="00EF1215">
        <w:rPr>
          <w:rFonts w:ascii="Arial Narrow" w:hAnsi="Arial Narrow" w:cs="Tahoma"/>
          <w:b/>
          <w:sz w:val="30"/>
          <w:szCs w:val="30"/>
        </w:rPr>
        <w:t>I</w:t>
      </w:r>
      <w:r w:rsidRPr="00EF1215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EF1215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EF1215">
        <w:rPr>
          <w:rFonts w:ascii="Arial Narrow" w:hAnsi="Arial Narrow" w:cs="Tahoma"/>
          <w:b/>
          <w:sz w:val="30"/>
          <w:szCs w:val="30"/>
          <w:lang w:val="sr-Latn-BA"/>
        </w:rPr>
        <w:t>6/X</w:t>
      </w:r>
      <w:r w:rsidR="007E1334" w:rsidRPr="00EF1215">
        <w:rPr>
          <w:rFonts w:ascii="Arial Narrow" w:hAnsi="Arial Narrow" w:cs="Tahoma"/>
          <w:b/>
          <w:sz w:val="30"/>
          <w:szCs w:val="30"/>
          <w:lang w:val="sr-Latn-BA"/>
        </w:rPr>
        <w:t>I</w:t>
      </w:r>
      <w:r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EF1215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EF1215">
        <w:rPr>
          <w:rFonts w:ascii="Arial Narrow" w:hAnsi="Arial Narrow" w:cs="Tahoma"/>
          <w:b/>
          <w:bCs/>
          <w:sz w:val="30"/>
          <w:szCs w:val="30"/>
          <w:lang w:val="sr-Cyrl-BA"/>
        </w:rPr>
        <w:t>6</w:t>
      </w:r>
      <w:r w:rsidRPr="00EF1215">
        <w:rPr>
          <w:rFonts w:ascii="Arial Narrow" w:hAnsi="Arial Narrow" w:cs="Tahoma"/>
          <w:b/>
          <w:bCs/>
          <w:sz w:val="30"/>
          <w:szCs w:val="30"/>
          <w:lang w:val="sr-Latn-BA"/>
        </w:rPr>
        <w:t>.</w:t>
      </w:r>
      <w:r w:rsidRPr="00EF1215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7E1334" w:rsidRPr="00EF1215">
        <w:rPr>
          <w:rFonts w:ascii="Arial Narrow" w:hAnsi="Arial Narrow" w:cs="Tahoma"/>
          <w:b/>
          <w:bCs/>
          <w:sz w:val="30"/>
          <w:szCs w:val="30"/>
        </w:rPr>
        <w:t>5</w:t>
      </w:r>
      <w:r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7E1334" w:rsidRPr="00EF1215">
        <w:rPr>
          <w:rFonts w:ascii="Arial Narrow" w:hAnsi="Arial Narrow" w:cs="Tahoma"/>
          <w:b/>
          <w:bCs/>
          <w:sz w:val="30"/>
          <w:szCs w:val="30"/>
        </w:rPr>
        <w:t>3</w:t>
      </w:r>
      <w:r w:rsidRPr="00EF1215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66F34" w:rsidRPr="00EF1215" w:rsidRDefault="00166F34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BA"/>
        </w:rPr>
      </w:pPr>
      <w:r w:rsidRPr="00EF1215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9C625E" w:rsidRPr="00EF1215">
        <w:rPr>
          <w:rFonts w:ascii="Arial Narrow" w:hAnsi="Arial Narrow" w:cs="Tahoma"/>
          <w:b/>
          <w:sz w:val="28"/>
        </w:rPr>
        <w:t>X</w:t>
      </w:r>
      <w:r w:rsidR="007E1334" w:rsidRPr="00EF1215">
        <w:rPr>
          <w:rFonts w:ascii="Arial Narrow" w:hAnsi="Arial Narrow" w:cs="Tahoma"/>
          <w:b/>
          <w:sz w:val="28"/>
        </w:rPr>
        <w:t>I</w:t>
      </w:r>
      <w:r w:rsidR="00153DA6" w:rsidRPr="00EF1215">
        <w:rPr>
          <w:rFonts w:ascii="Arial Narrow" w:hAnsi="Arial Narrow" w:cs="Tahoma"/>
          <w:b/>
          <w:sz w:val="28"/>
        </w:rPr>
        <w:t>I</w:t>
      </w:r>
      <w:r w:rsidRPr="00EF1215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EF1215">
        <w:rPr>
          <w:rFonts w:ascii="Arial Narrow" w:hAnsi="Arial Narrow" w:cs="Tahoma"/>
          <w:b/>
          <w:sz w:val="28"/>
          <w:lang w:val="sr-Latn-BA"/>
        </w:rPr>
        <w:t>6</w:t>
      </w:r>
      <w:r w:rsidRPr="00EF1215">
        <w:rPr>
          <w:rFonts w:ascii="Arial Narrow" w:hAnsi="Arial Narrow" w:cs="Tahoma"/>
          <w:b/>
          <w:sz w:val="28"/>
          <w:lang w:val="ru-RU"/>
        </w:rPr>
        <w:t>/</w:t>
      </w:r>
      <w:r w:rsidR="009C625E" w:rsidRPr="00EF1215">
        <w:rPr>
          <w:rFonts w:ascii="Arial Narrow" w:hAnsi="Arial Narrow" w:cs="Tahoma"/>
          <w:b/>
          <w:sz w:val="28"/>
        </w:rPr>
        <w:t>X</w:t>
      </w:r>
      <w:r w:rsidR="007E1334" w:rsidRPr="00EF1215">
        <w:rPr>
          <w:rFonts w:ascii="Arial Narrow" w:hAnsi="Arial Narrow" w:cs="Tahoma"/>
          <w:b/>
          <w:sz w:val="28"/>
        </w:rPr>
        <w:t>I</w:t>
      </w:r>
      <w:r w:rsidR="00153DA6" w:rsidRPr="00EF1215">
        <w:rPr>
          <w:rFonts w:ascii="Arial Narrow" w:hAnsi="Arial Narrow" w:cs="Tahoma"/>
          <w:b/>
          <w:sz w:val="28"/>
        </w:rPr>
        <w:t>I</w:t>
      </w:r>
      <w:r w:rsidRPr="00EF1215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EF1215">
        <w:rPr>
          <w:rFonts w:ascii="Arial Narrow" w:hAnsi="Arial Narrow" w:cs="Tahoma"/>
          <w:b/>
          <w:sz w:val="28"/>
          <w:lang w:val="sr-Latn-BA"/>
        </w:rPr>
        <w:t>5</w:t>
      </w:r>
      <w:r w:rsidRPr="00EF1215">
        <w:rPr>
          <w:rFonts w:ascii="Arial Narrow" w:hAnsi="Arial Narrow" w:cs="Tahoma"/>
          <w:b/>
          <w:sz w:val="28"/>
          <w:lang w:val="ru-RU"/>
        </w:rPr>
        <w:t xml:space="preserve">.) </w:t>
      </w:r>
      <w:r w:rsidR="00300B8C" w:rsidRPr="00EF1215">
        <w:rPr>
          <w:rFonts w:ascii="Arial Narrow" w:hAnsi="Arial Narrow" w:cs="Tahoma"/>
          <w:b/>
          <w:sz w:val="28"/>
          <w:lang w:val="ru-RU"/>
        </w:rPr>
        <w:t>већи</w:t>
      </w:r>
      <w:r w:rsidRPr="00EF1215">
        <w:rPr>
          <w:rFonts w:ascii="Arial Narrow" w:hAnsi="Arial Narrow" w:cs="Tahoma"/>
          <w:b/>
          <w:sz w:val="28"/>
          <w:lang w:val="ru-RU"/>
        </w:rPr>
        <w:t xml:space="preserve"> </w:t>
      </w:r>
      <w:r w:rsidR="007E1334" w:rsidRPr="00EF1215">
        <w:rPr>
          <w:rFonts w:ascii="Arial Narrow" w:hAnsi="Arial Narrow" w:cs="Tahoma"/>
          <w:b/>
          <w:sz w:val="28"/>
        </w:rPr>
        <w:t>3</w:t>
      </w:r>
      <w:r w:rsidRPr="00EF1215">
        <w:rPr>
          <w:rFonts w:ascii="Arial Narrow" w:hAnsi="Arial Narrow" w:cs="Tahoma"/>
          <w:b/>
          <w:sz w:val="28"/>
          <w:lang w:val="ru-RU"/>
        </w:rPr>
        <w:t>,</w:t>
      </w:r>
      <w:r w:rsidR="007E1334" w:rsidRPr="00EF1215">
        <w:rPr>
          <w:rFonts w:ascii="Arial Narrow" w:hAnsi="Arial Narrow" w:cs="Tahoma"/>
          <w:b/>
          <w:sz w:val="28"/>
        </w:rPr>
        <w:t>3</w:t>
      </w:r>
      <w:r w:rsidRPr="00EF1215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EF1215" w:rsidRDefault="00166F34" w:rsidP="00166F34">
      <w:pPr>
        <w:jc w:val="both"/>
        <w:rPr>
          <w:rFonts w:ascii="Arial Narrow" w:hAnsi="Arial Narrow" w:cs="Tahoma"/>
          <w:sz w:val="22"/>
          <w:lang w:val="sr-Cyrl-BA"/>
        </w:rPr>
      </w:pPr>
    </w:p>
    <w:p w:rsidR="00F06D21" w:rsidRPr="00EF1215" w:rsidRDefault="00F06D21" w:rsidP="00166F34">
      <w:pPr>
        <w:jc w:val="both"/>
        <w:rPr>
          <w:rFonts w:ascii="Arial Narrow" w:hAnsi="Arial Narrow" w:cs="Tahoma"/>
          <w:sz w:val="22"/>
          <w:lang w:val="sr-Cyrl-CS"/>
        </w:rPr>
      </w:pPr>
      <w:r w:rsidRPr="00EF1215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EF1215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EF1215">
        <w:rPr>
          <w:rFonts w:ascii="Arial Narrow" w:hAnsi="Arial Narrow" w:cs="Tahoma"/>
          <w:sz w:val="22"/>
          <w:lang w:val="sr-Cyrl-BA"/>
        </w:rPr>
        <w:t xml:space="preserve"> у </w:t>
      </w:r>
      <w:r w:rsidR="007E1334" w:rsidRPr="00EF1215">
        <w:rPr>
          <w:rFonts w:ascii="Arial Narrow" w:hAnsi="Arial Narrow" w:cs="Tahoma"/>
          <w:spacing w:val="-2"/>
          <w:sz w:val="22"/>
          <w:lang w:val="sr-Cyrl-CS"/>
        </w:rPr>
        <w:t>децембру</w:t>
      </w:r>
      <w:r w:rsidR="009C39C0" w:rsidRPr="00EF121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lang w:val="sr-Cyrl-BA"/>
        </w:rPr>
        <w:t>201</w:t>
      </w:r>
      <w:r w:rsidRPr="00EF1215">
        <w:rPr>
          <w:rFonts w:ascii="Arial Narrow" w:hAnsi="Arial Narrow" w:cs="Tahoma"/>
          <w:sz w:val="22"/>
          <w:lang w:val="sr-Cyrl-CS"/>
        </w:rPr>
        <w:t>6</w:t>
      </w:r>
      <w:r w:rsidRPr="00EF1215">
        <w:rPr>
          <w:rFonts w:ascii="Arial Narrow" w:hAnsi="Arial Narrow" w:cs="Tahoma"/>
          <w:sz w:val="22"/>
          <w:lang w:val="sr-Cyrl-BA"/>
        </w:rPr>
        <w:t>. године</w:t>
      </w:r>
      <w:r w:rsidRPr="00EF1215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EF1215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7E1334" w:rsidRPr="00EF1215">
        <w:rPr>
          <w:rFonts w:ascii="Arial Narrow" w:hAnsi="Arial Narrow" w:cs="Tahoma"/>
          <w:spacing w:val="-2"/>
          <w:sz w:val="22"/>
          <w:lang w:val="sr-Cyrl-CS"/>
        </w:rPr>
        <w:t>децембром</w:t>
      </w:r>
      <w:r w:rsidRPr="00EF1215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EF1215">
        <w:rPr>
          <w:rFonts w:ascii="Arial Narrow" w:hAnsi="Arial Narrow" w:cs="Tahoma"/>
          <w:sz w:val="22"/>
          <w:lang w:val="ru-RU"/>
        </w:rPr>
        <w:t>2015.</w:t>
      </w:r>
      <w:r w:rsidRPr="00EF1215">
        <w:rPr>
          <w:rFonts w:ascii="Arial Narrow" w:hAnsi="Arial Narrow" w:cs="Tahoma"/>
          <w:sz w:val="22"/>
          <w:lang w:val="sr-Cyrl-BA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7E1334" w:rsidRPr="00EF1215">
        <w:rPr>
          <w:rFonts w:ascii="Arial Narrow" w:hAnsi="Arial Narrow" w:cs="Tahoma"/>
          <w:sz w:val="22"/>
          <w:lang w:val="sr-Cyrl-CS"/>
        </w:rPr>
        <w:t>20</w:t>
      </w:r>
      <w:r w:rsidRPr="00EF1215">
        <w:rPr>
          <w:rFonts w:ascii="Arial Narrow" w:hAnsi="Arial Narrow" w:cs="Tahoma"/>
          <w:sz w:val="22"/>
          <w:lang w:val="sr-Cyrl-CS"/>
        </w:rPr>
        <w:t>,</w:t>
      </w:r>
      <w:r w:rsidR="007E1334" w:rsidRPr="00EF1215">
        <w:rPr>
          <w:rFonts w:ascii="Arial Narrow" w:hAnsi="Arial Narrow" w:cs="Tahoma"/>
          <w:sz w:val="22"/>
          <w:lang w:val="sr-Cyrl-CS"/>
        </w:rPr>
        <w:t>0</w:t>
      </w:r>
      <w:r w:rsidRPr="00EF1215">
        <w:rPr>
          <w:rFonts w:ascii="Arial Narrow" w:hAnsi="Arial Narrow" w:cs="Tahoma"/>
          <w:sz w:val="22"/>
          <w:lang w:val="sr-Cyrl-CS"/>
        </w:rPr>
        <w:t>%.</w:t>
      </w:r>
      <w:r w:rsidRPr="00EF1215">
        <w:rPr>
          <w:rFonts w:ascii="Arial Narrow" w:hAnsi="Arial Narrow" w:cs="Tahoma"/>
          <w:sz w:val="22"/>
          <w:lang w:val="sr-Cyrl-BA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>У</w:t>
      </w:r>
      <w:r w:rsidRPr="00EF1215">
        <w:rPr>
          <w:rFonts w:ascii="Arial Narrow" w:hAnsi="Arial Narrow" w:cs="Tahoma"/>
          <w:sz w:val="22"/>
          <w:lang w:val="sr-Cyrl-BA"/>
        </w:rPr>
        <w:t xml:space="preserve"> </w:t>
      </w:r>
      <w:r w:rsidR="001B25E0" w:rsidRPr="00EF1215">
        <w:rPr>
          <w:rFonts w:ascii="Arial Narrow" w:hAnsi="Arial Narrow" w:cs="Tahoma"/>
          <w:sz w:val="22"/>
          <w:lang w:val="sr-Cyrl-BA"/>
        </w:rPr>
        <w:t xml:space="preserve">подручју </w:t>
      </w:r>
      <w:r w:rsidR="001B25E0" w:rsidRPr="00EF121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1B25E0" w:rsidRPr="00EF1215">
        <w:rPr>
          <w:rFonts w:ascii="Arial Narrow" w:hAnsi="Arial Narrow" w:cs="Tahoma"/>
          <w:sz w:val="22"/>
          <w:lang w:val="sr-Cyrl-CS"/>
        </w:rPr>
        <w:t xml:space="preserve"> остварен </w:t>
      </w:r>
      <w:r w:rsidR="00CD7671" w:rsidRPr="00EF1215">
        <w:rPr>
          <w:rFonts w:ascii="Arial Narrow" w:hAnsi="Arial Narrow" w:cs="Tahoma"/>
          <w:sz w:val="22"/>
          <w:lang w:val="sr-Cyrl-CS"/>
        </w:rPr>
        <w:t xml:space="preserve">је </w:t>
      </w:r>
      <w:r w:rsidR="001B25E0" w:rsidRPr="00EF1215">
        <w:rPr>
          <w:rFonts w:ascii="Arial Narrow" w:hAnsi="Arial Narrow" w:cs="Tahoma"/>
          <w:sz w:val="22"/>
          <w:lang w:val="sr-Cyrl-CS"/>
        </w:rPr>
        <w:t>раст</w:t>
      </w:r>
      <w:r w:rsidR="00CD7671" w:rsidRPr="00EF1215">
        <w:rPr>
          <w:rFonts w:ascii="Arial Narrow" w:hAnsi="Arial Narrow" w:cs="Tahoma"/>
          <w:sz w:val="22"/>
          <w:lang w:val="sr-Cyrl-BA"/>
        </w:rPr>
        <w:t xml:space="preserve"> </w:t>
      </w:r>
      <w:r w:rsidRPr="00EF1215">
        <w:rPr>
          <w:rFonts w:ascii="Arial Narrow" w:hAnsi="Arial Narrow" w:cs="Tahoma"/>
          <w:sz w:val="22"/>
          <w:lang w:val="sr-Cyrl-BA"/>
        </w:rPr>
        <w:t xml:space="preserve">од </w:t>
      </w:r>
      <w:r w:rsidR="007E1334" w:rsidRPr="00EF1215">
        <w:rPr>
          <w:rFonts w:ascii="Arial Narrow" w:hAnsi="Arial Narrow" w:cs="Tahoma"/>
          <w:sz w:val="22"/>
          <w:lang w:val="sr-Cyrl-BA"/>
        </w:rPr>
        <w:t>46</w:t>
      </w:r>
      <w:r w:rsidRPr="00EF1215">
        <w:rPr>
          <w:rFonts w:ascii="Arial Narrow" w:hAnsi="Arial Narrow" w:cs="Tahoma"/>
          <w:sz w:val="22"/>
          <w:lang w:val="sr-Cyrl-CS"/>
        </w:rPr>
        <w:t>,</w:t>
      </w:r>
      <w:r w:rsidR="007E1334" w:rsidRPr="00EF1215">
        <w:rPr>
          <w:rFonts w:ascii="Arial Narrow" w:hAnsi="Arial Narrow" w:cs="Tahoma"/>
          <w:sz w:val="22"/>
          <w:lang w:val="sr-Cyrl-CS"/>
        </w:rPr>
        <w:t>5</w:t>
      </w:r>
      <w:r w:rsidRPr="00EF1215">
        <w:rPr>
          <w:rFonts w:ascii="Arial Narrow" w:hAnsi="Arial Narrow" w:cs="Tahoma"/>
          <w:sz w:val="22"/>
          <w:lang w:val="sr-Cyrl-BA"/>
        </w:rPr>
        <w:t>%</w:t>
      </w:r>
      <w:r w:rsidR="00764398" w:rsidRPr="00EF1215">
        <w:rPr>
          <w:rFonts w:ascii="Arial Narrow" w:hAnsi="Arial Narrow" w:cs="Tahoma"/>
          <w:sz w:val="22"/>
          <w:lang w:val="sr-Cyrl-BA"/>
        </w:rPr>
        <w:t>, у подручј</w:t>
      </w:r>
      <w:r w:rsidR="00153DA6" w:rsidRPr="00EF1215">
        <w:rPr>
          <w:rFonts w:ascii="Arial Narrow" w:hAnsi="Arial Narrow" w:cs="Tahoma"/>
          <w:sz w:val="22"/>
          <w:lang w:val="sr-Cyrl-BA"/>
        </w:rPr>
        <w:t>у</w:t>
      </w:r>
      <w:r w:rsidR="00764398" w:rsidRPr="00EF1215">
        <w:rPr>
          <w:rFonts w:ascii="Arial Narrow" w:hAnsi="Arial Narrow" w:cs="Tahoma"/>
          <w:sz w:val="22"/>
          <w:lang w:val="sr-Cyrl-BA"/>
        </w:rPr>
        <w:t xml:space="preserve"> </w:t>
      </w:r>
      <w:r w:rsidR="00764398" w:rsidRPr="00EF1215">
        <w:rPr>
          <w:rFonts w:ascii="Arial Narrow" w:hAnsi="Arial Narrow" w:cs="Tahoma"/>
          <w:i/>
          <w:sz w:val="22"/>
          <w:lang w:val="sr-Cyrl-BA"/>
        </w:rPr>
        <w:t>Вађењ</w:t>
      </w:r>
      <w:r w:rsidR="00764398" w:rsidRPr="00EF1215">
        <w:rPr>
          <w:rFonts w:ascii="Arial Narrow" w:hAnsi="Arial Narrow" w:cs="Tahoma"/>
          <w:i/>
          <w:sz w:val="22"/>
          <w:lang w:val="sr-Cyrl-CS"/>
        </w:rPr>
        <w:t>а</w:t>
      </w:r>
      <w:r w:rsidR="00764398" w:rsidRPr="00EF1215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="00153DA6" w:rsidRPr="00EF1215">
        <w:rPr>
          <w:rFonts w:ascii="Arial Narrow" w:hAnsi="Arial Narrow" w:cs="Tahoma"/>
          <w:i/>
          <w:sz w:val="22"/>
          <w:lang w:val="sr-Cyrl-BA"/>
        </w:rPr>
        <w:t xml:space="preserve">раст </w:t>
      </w:r>
      <w:r w:rsidR="00153DA6" w:rsidRPr="00EF1215">
        <w:rPr>
          <w:rFonts w:ascii="Arial Narrow" w:hAnsi="Arial Narrow" w:cs="Tahoma"/>
          <w:sz w:val="22"/>
          <w:lang w:val="sr-Cyrl-BA"/>
        </w:rPr>
        <w:t xml:space="preserve">од </w:t>
      </w:r>
      <w:r w:rsidR="007E1334" w:rsidRPr="00EF1215">
        <w:rPr>
          <w:rFonts w:ascii="Arial Narrow" w:hAnsi="Arial Narrow" w:cs="Tahoma"/>
          <w:sz w:val="22"/>
          <w:lang w:val="sr-Cyrl-BA"/>
        </w:rPr>
        <w:t>23</w:t>
      </w:r>
      <w:r w:rsidR="00153DA6" w:rsidRPr="00EF1215">
        <w:rPr>
          <w:rFonts w:ascii="Arial Narrow" w:hAnsi="Arial Narrow" w:cs="Tahoma"/>
          <w:sz w:val="22"/>
          <w:lang w:val="sr-Cyrl-BA"/>
        </w:rPr>
        <w:t>,</w:t>
      </w:r>
      <w:r w:rsidR="007E1334" w:rsidRPr="00EF1215">
        <w:rPr>
          <w:rFonts w:ascii="Arial Narrow" w:hAnsi="Arial Narrow" w:cs="Tahoma"/>
          <w:sz w:val="22"/>
          <w:lang w:val="sr-Cyrl-BA"/>
        </w:rPr>
        <w:t>9</w:t>
      </w:r>
      <w:r w:rsidR="00153DA6" w:rsidRPr="00EF1215">
        <w:rPr>
          <w:rFonts w:ascii="Arial Narrow" w:hAnsi="Arial Narrow" w:cs="Tahoma"/>
          <w:sz w:val="22"/>
          <w:lang w:val="sr-Cyrl-BA"/>
        </w:rPr>
        <w:t>%</w:t>
      </w:r>
      <w:r w:rsidR="00153DA6" w:rsidRPr="00EF1215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64398" w:rsidRPr="00EF1215">
        <w:rPr>
          <w:rFonts w:ascii="Arial Narrow" w:hAnsi="Arial Narrow" w:cs="Tahoma"/>
          <w:sz w:val="22"/>
          <w:lang w:val="sr-Cyrl-BA"/>
        </w:rPr>
        <w:t>и</w:t>
      </w:r>
      <w:r w:rsidR="00153DA6" w:rsidRPr="00EF1215">
        <w:rPr>
          <w:rFonts w:ascii="Arial Narrow" w:hAnsi="Arial Narrow" w:cs="Tahoma"/>
          <w:sz w:val="22"/>
          <w:lang w:val="sr-Cyrl-BA"/>
        </w:rPr>
        <w:t xml:space="preserve"> у</w:t>
      </w:r>
      <w:r w:rsidR="00764398" w:rsidRPr="00EF1215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153DA6" w:rsidRPr="00EF1215">
        <w:rPr>
          <w:rFonts w:ascii="Arial Narrow" w:hAnsi="Arial Narrow" w:cs="Tahoma"/>
          <w:sz w:val="22"/>
          <w:lang w:val="sr-Cyrl-BA"/>
        </w:rPr>
        <w:t xml:space="preserve">подручју </w:t>
      </w:r>
      <w:r w:rsidR="00833E01" w:rsidRPr="00EF1215">
        <w:rPr>
          <w:rFonts w:ascii="Arial Narrow" w:hAnsi="Arial Narrow" w:cs="Tahoma"/>
          <w:i/>
          <w:sz w:val="22"/>
          <w:lang w:val="sr-Cyrl-BA"/>
        </w:rPr>
        <w:t>Прерађивачк</w:t>
      </w:r>
      <w:r w:rsidR="00153DA6" w:rsidRPr="00EF1215">
        <w:rPr>
          <w:rFonts w:ascii="Arial Narrow" w:hAnsi="Arial Narrow" w:cs="Tahoma"/>
          <w:i/>
          <w:sz w:val="22"/>
          <w:lang w:val="sr-Cyrl-BA"/>
        </w:rPr>
        <w:t>а</w:t>
      </w:r>
      <w:r w:rsidR="00833E01" w:rsidRPr="00EF1215">
        <w:rPr>
          <w:rFonts w:ascii="Arial Narrow" w:hAnsi="Arial Narrow" w:cs="Tahoma"/>
          <w:i/>
          <w:sz w:val="22"/>
          <w:lang w:val="sr-Cyrl-BA"/>
        </w:rPr>
        <w:t xml:space="preserve"> индустриј</w:t>
      </w:r>
      <w:r w:rsidR="00153DA6" w:rsidRPr="00EF1215">
        <w:rPr>
          <w:rFonts w:ascii="Arial Narrow" w:hAnsi="Arial Narrow" w:cs="Tahoma"/>
          <w:i/>
          <w:sz w:val="22"/>
          <w:lang w:val="sr-Cyrl-BA"/>
        </w:rPr>
        <w:t>а</w:t>
      </w:r>
      <w:r w:rsidR="00833E01" w:rsidRPr="00EF1215">
        <w:rPr>
          <w:rFonts w:ascii="Arial Narrow" w:hAnsi="Arial Narrow" w:cs="Tahoma"/>
          <w:sz w:val="22"/>
          <w:lang w:val="sr-Cyrl-CS"/>
        </w:rPr>
        <w:t xml:space="preserve"> </w:t>
      </w:r>
      <w:r w:rsidR="00153DA6" w:rsidRPr="00EF1215">
        <w:rPr>
          <w:rFonts w:ascii="Arial Narrow" w:hAnsi="Arial Narrow" w:cs="Tahoma"/>
          <w:sz w:val="22"/>
          <w:lang w:val="sr-Cyrl-CS"/>
        </w:rPr>
        <w:t>раст</w:t>
      </w:r>
      <w:r w:rsidRPr="00EF1215">
        <w:rPr>
          <w:rFonts w:ascii="Arial Narrow" w:hAnsi="Arial Narrow" w:cs="Tahoma"/>
          <w:sz w:val="22"/>
          <w:lang w:val="sr-Cyrl-CS"/>
        </w:rPr>
        <w:t xml:space="preserve"> од </w:t>
      </w:r>
      <w:r w:rsidR="007E1334" w:rsidRPr="00EF1215">
        <w:rPr>
          <w:rFonts w:ascii="Arial Narrow" w:hAnsi="Arial Narrow" w:cs="Tahoma"/>
          <w:sz w:val="22"/>
          <w:lang w:val="sr-Cyrl-CS"/>
        </w:rPr>
        <w:t>8</w:t>
      </w:r>
      <w:r w:rsidRPr="00EF1215">
        <w:rPr>
          <w:rFonts w:ascii="Arial Narrow" w:hAnsi="Arial Narrow" w:cs="Tahoma"/>
          <w:sz w:val="22"/>
          <w:lang w:val="sr-Cyrl-CS"/>
        </w:rPr>
        <w:t>,</w:t>
      </w:r>
      <w:r w:rsidR="007E1334" w:rsidRPr="00EF1215">
        <w:rPr>
          <w:rFonts w:ascii="Arial Narrow" w:hAnsi="Arial Narrow" w:cs="Tahoma"/>
          <w:sz w:val="22"/>
          <w:lang w:val="sr-Cyrl-CS"/>
        </w:rPr>
        <w:t>9</w:t>
      </w:r>
      <w:r w:rsidRPr="00EF1215">
        <w:rPr>
          <w:rFonts w:ascii="Arial Narrow" w:hAnsi="Arial Narrow" w:cs="Tahoma"/>
          <w:sz w:val="22"/>
          <w:lang w:val="sr-Cyrl-CS"/>
        </w:rPr>
        <w:t>%</w:t>
      </w:r>
      <w:r w:rsidR="00764398" w:rsidRPr="00EF1215">
        <w:rPr>
          <w:rFonts w:ascii="Arial Narrow" w:hAnsi="Arial Narrow" w:cs="Tahoma"/>
          <w:sz w:val="22"/>
          <w:lang w:val="sr-Cyrl-CS"/>
        </w:rPr>
        <w:t>.</w:t>
      </w:r>
      <w:r w:rsidR="00833E01" w:rsidRPr="00EF1215">
        <w:rPr>
          <w:rFonts w:ascii="Arial Narrow" w:hAnsi="Arial Narrow" w:cs="Tahoma"/>
          <w:sz w:val="22"/>
          <w:lang w:val="sr-Cyrl-CS"/>
        </w:rPr>
        <w:t xml:space="preserve"> </w:t>
      </w:r>
      <w:r w:rsidRPr="00EF1215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EF1215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EF1215">
        <w:rPr>
          <w:rFonts w:ascii="Arial Narrow" w:hAnsi="Arial Narrow" w:cs="Tahoma"/>
          <w:sz w:val="22"/>
          <w:lang w:val="sr-Cyrl-CS"/>
        </w:rPr>
        <w:t xml:space="preserve"> </w:t>
      </w:r>
      <w:r w:rsidR="00153DA6" w:rsidRPr="00EF1215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EF1215">
        <w:rPr>
          <w:rFonts w:ascii="Arial Narrow" w:hAnsi="Arial Narrow" w:cs="Tahoma"/>
          <w:sz w:val="22"/>
          <w:lang w:val="sr-Cyrl-CS"/>
        </w:rPr>
        <w:t xml:space="preserve">у </w:t>
      </w:r>
      <w:r w:rsidR="007E1334" w:rsidRPr="00EF1215">
        <w:rPr>
          <w:rFonts w:ascii="Arial Narrow" w:hAnsi="Arial Narrow" w:cs="Tahoma"/>
          <w:spacing w:val="-2"/>
          <w:sz w:val="22"/>
          <w:lang w:val="sr-Cyrl-CS"/>
        </w:rPr>
        <w:t>децембру</w:t>
      </w:r>
      <w:r w:rsidRPr="00EF121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 xml:space="preserve">2016. </w:t>
      </w:r>
      <w:r w:rsidRPr="00EF1215">
        <w:rPr>
          <w:rFonts w:ascii="Arial Narrow" w:hAnsi="Arial Narrow" w:cs="Tahoma"/>
          <w:sz w:val="22"/>
          <w:lang w:val="sr-Cyrl-BA"/>
        </w:rPr>
        <w:t>г</w:t>
      </w:r>
      <w:r w:rsidRPr="00EF1215">
        <w:rPr>
          <w:rFonts w:ascii="Arial Narrow" w:hAnsi="Arial Narrow" w:cs="Tahoma"/>
          <w:sz w:val="22"/>
          <w:lang w:val="sr-Cyrl-CS"/>
        </w:rPr>
        <w:t>одине</w:t>
      </w:r>
      <w:r w:rsidRPr="00EF1215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EF1215">
        <w:rPr>
          <w:rFonts w:ascii="Arial Narrow" w:hAnsi="Arial Narrow" w:cs="Tahoma"/>
          <w:sz w:val="22"/>
          <w:lang w:val="sr-Cyrl-BA"/>
        </w:rPr>
        <w:t xml:space="preserve">са </w:t>
      </w:r>
      <w:r w:rsidR="007E1334" w:rsidRPr="00EF1215">
        <w:rPr>
          <w:rFonts w:ascii="Arial Narrow" w:hAnsi="Arial Narrow" w:cs="Tahoma"/>
          <w:spacing w:val="-2"/>
          <w:sz w:val="22"/>
          <w:lang w:val="sr-Cyrl-CS"/>
        </w:rPr>
        <w:t>децембром</w:t>
      </w:r>
      <w:r w:rsidRPr="00EF121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lang w:val="ru-RU"/>
        </w:rPr>
        <w:t>2015</w:t>
      </w:r>
      <w:r w:rsidRPr="00EF1215">
        <w:rPr>
          <w:rFonts w:ascii="Arial Narrow" w:hAnsi="Arial Narrow" w:cs="Tahoma"/>
          <w:sz w:val="22"/>
          <w:lang w:val="sr-Cyrl-CS"/>
        </w:rPr>
        <w:t xml:space="preserve">, </w:t>
      </w:r>
      <w:r w:rsidR="00FA6E91" w:rsidRPr="00EF1215">
        <w:rPr>
          <w:rFonts w:ascii="Arial Narrow" w:hAnsi="Arial Narrow" w:cs="Tahoma"/>
          <w:sz w:val="22"/>
          <w:lang w:val="sr-Cyrl-CS"/>
        </w:rPr>
        <w:t>већа</w:t>
      </w:r>
      <w:r w:rsidRPr="00EF1215">
        <w:rPr>
          <w:rFonts w:ascii="Arial Narrow" w:hAnsi="Arial Narrow" w:cs="Tahoma"/>
          <w:sz w:val="22"/>
          <w:lang w:val="sr-Cyrl-CS"/>
        </w:rPr>
        <w:t xml:space="preserve"> је за </w:t>
      </w:r>
      <w:r w:rsidR="007E1334" w:rsidRPr="00EF1215">
        <w:rPr>
          <w:rFonts w:ascii="Arial Narrow" w:hAnsi="Arial Narrow" w:cs="Tahoma"/>
          <w:sz w:val="22"/>
          <w:lang w:val="sr-Cyrl-CS"/>
        </w:rPr>
        <w:t>52</w:t>
      </w:r>
      <w:r w:rsidR="00786934" w:rsidRPr="00EF1215">
        <w:rPr>
          <w:rFonts w:ascii="Arial Narrow" w:hAnsi="Arial Narrow" w:cs="Tahoma"/>
          <w:sz w:val="22"/>
          <w:lang w:val="sr-Cyrl-CS"/>
        </w:rPr>
        <w:t>,</w:t>
      </w:r>
      <w:r w:rsidR="007E1334" w:rsidRPr="00EF1215">
        <w:rPr>
          <w:rFonts w:ascii="Arial Narrow" w:hAnsi="Arial Narrow" w:cs="Tahoma"/>
          <w:sz w:val="22"/>
          <w:lang w:val="sr-Cyrl-CS"/>
        </w:rPr>
        <w:t>4</w:t>
      </w:r>
      <w:r w:rsidR="00786934" w:rsidRPr="00EF1215">
        <w:rPr>
          <w:rFonts w:ascii="Arial Narrow" w:hAnsi="Arial Narrow" w:cs="Tahoma"/>
          <w:sz w:val="22"/>
          <w:lang w:val="sr-Cyrl-CS"/>
        </w:rPr>
        <w:t xml:space="preserve">%, </w:t>
      </w:r>
      <w:r w:rsidR="00153DA6" w:rsidRPr="00EF1215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153DA6" w:rsidRPr="00EF1215">
        <w:rPr>
          <w:rFonts w:ascii="Arial Narrow" w:hAnsi="Arial Narrow" w:cs="Tahoma"/>
          <w:sz w:val="22"/>
          <w:lang w:val="sr-Cyrl-CS"/>
        </w:rPr>
        <w:t xml:space="preserve"> </w:t>
      </w:r>
      <w:r w:rsidR="00786934" w:rsidRPr="00EF1215">
        <w:rPr>
          <w:rFonts w:ascii="Arial Narrow" w:hAnsi="Arial Narrow" w:cs="Tahoma"/>
          <w:sz w:val="22"/>
          <w:lang w:val="sr-Cyrl-CS"/>
        </w:rPr>
        <w:t xml:space="preserve">за </w:t>
      </w:r>
      <w:r w:rsidR="007E1334" w:rsidRPr="00EF1215">
        <w:rPr>
          <w:rFonts w:ascii="Arial Narrow" w:hAnsi="Arial Narrow" w:cs="Tahoma"/>
          <w:sz w:val="22"/>
          <w:lang w:val="sr-Cyrl-CS"/>
        </w:rPr>
        <w:t>14</w:t>
      </w:r>
      <w:r w:rsidR="00786934" w:rsidRPr="00EF1215">
        <w:rPr>
          <w:rFonts w:ascii="Arial Narrow" w:hAnsi="Arial Narrow" w:cs="Tahoma"/>
          <w:sz w:val="22"/>
          <w:lang w:val="sr-Cyrl-CS"/>
        </w:rPr>
        <w:t>,</w:t>
      </w:r>
      <w:r w:rsidR="007E1334" w:rsidRPr="00EF1215">
        <w:rPr>
          <w:rFonts w:ascii="Arial Narrow" w:hAnsi="Arial Narrow" w:cs="Tahoma"/>
          <w:sz w:val="22"/>
          <w:lang w:val="sr-Cyrl-CS"/>
        </w:rPr>
        <w:t>8</w:t>
      </w:r>
      <w:r w:rsidR="00786934" w:rsidRPr="00EF1215">
        <w:rPr>
          <w:rFonts w:ascii="Arial Narrow" w:hAnsi="Arial Narrow" w:cs="Tahoma"/>
          <w:sz w:val="22"/>
          <w:lang w:val="sr-Cyrl-CS"/>
        </w:rPr>
        <w:t>%</w:t>
      </w:r>
      <w:r w:rsidR="007E1334" w:rsidRPr="00EF1215">
        <w:rPr>
          <w:rFonts w:ascii="Arial Narrow" w:hAnsi="Arial Narrow" w:cs="Tahoma"/>
          <w:sz w:val="22"/>
          <w:lang w:val="sr-Cyrl-CS"/>
        </w:rPr>
        <w:t xml:space="preserve"> и</w:t>
      </w:r>
      <w:r w:rsidR="00786934" w:rsidRPr="00EF1215">
        <w:rPr>
          <w:rFonts w:ascii="Arial Narrow" w:hAnsi="Arial Narrow" w:cs="Tahoma"/>
          <w:sz w:val="22"/>
          <w:lang w:val="sr-Cyrl-CS"/>
        </w:rPr>
        <w:t xml:space="preserve"> </w:t>
      </w:r>
      <w:r w:rsidR="007E1334" w:rsidRPr="00EF1215">
        <w:rPr>
          <w:rFonts w:ascii="Arial Narrow" w:hAnsi="Arial Narrow" w:cs="Tahoma"/>
          <w:sz w:val="22"/>
          <w:lang w:val="sr-Cyrl-CS"/>
        </w:rPr>
        <w:t xml:space="preserve">интермедијарних производа </w:t>
      </w:r>
      <w:r w:rsidR="00786934" w:rsidRPr="00EF1215">
        <w:rPr>
          <w:rFonts w:ascii="Arial Narrow" w:hAnsi="Arial Narrow" w:cs="Tahoma"/>
          <w:sz w:val="22"/>
          <w:lang w:val="sr-Cyrl-CS"/>
        </w:rPr>
        <w:t xml:space="preserve">за </w:t>
      </w:r>
      <w:r w:rsidR="007E1334" w:rsidRPr="00EF1215">
        <w:rPr>
          <w:rFonts w:ascii="Arial Narrow" w:hAnsi="Arial Narrow" w:cs="Tahoma"/>
          <w:sz w:val="22"/>
          <w:lang w:val="sr-Cyrl-CS"/>
        </w:rPr>
        <w:t>12</w:t>
      </w:r>
      <w:r w:rsidR="00786934" w:rsidRPr="00EF1215">
        <w:rPr>
          <w:rFonts w:ascii="Arial Narrow" w:hAnsi="Arial Narrow" w:cs="Tahoma"/>
          <w:sz w:val="22"/>
          <w:lang w:val="sr-Cyrl-CS"/>
        </w:rPr>
        <w:t>,</w:t>
      </w:r>
      <w:r w:rsidR="007E1334" w:rsidRPr="00EF1215">
        <w:rPr>
          <w:rFonts w:ascii="Arial Narrow" w:hAnsi="Arial Narrow" w:cs="Tahoma"/>
          <w:sz w:val="22"/>
          <w:lang w:val="sr-Cyrl-CS"/>
        </w:rPr>
        <w:t>4</w:t>
      </w:r>
      <w:r w:rsidR="00153DA6" w:rsidRPr="00EF1215">
        <w:rPr>
          <w:rFonts w:ascii="Arial Narrow" w:hAnsi="Arial Narrow" w:cs="Tahoma"/>
          <w:sz w:val="22"/>
          <w:lang w:val="sr-Cyrl-CS"/>
        </w:rPr>
        <w:t>%</w:t>
      </w:r>
      <w:r w:rsidR="007E1334" w:rsidRPr="00EF1215">
        <w:rPr>
          <w:rFonts w:ascii="Arial Narrow" w:hAnsi="Arial Narrow" w:cs="Tahoma"/>
          <w:sz w:val="22"/>
          <w:lang w:val="sr-Cyrl-CS"/>
        </w:rPr>
        <w:t>,</w:t>
      </w:r>
      <w:r w:rsidR="00153DA6" w:rsidRPr="00EF1215">
        <w:rPr>
          <w:rFonts w:ascii="Arial Narrow" w:hAnsi="Arial Narrow" w:cs="Tahoma"/>
          <w:sz w:val="22"/>
          <w:lang w:val="sr-Cyrl-CS"/>
        </w:rPr>
        <w:t xml:space="preserve"> </w:t>
      </w:r>
      <w:r w:rsidR="007E1334" w:rsidRPr="00EF1215">
        <w:rPr>
          <w:rFonts w:ascii="Arial Narrow" w:hAnsi="Arial Narrow" w:cs="Tahoma"/>
          <w:sz w:val="22"/>
          <w:lang w:val="sr-Cyrl-CS"/>
        </w:rPr>
        <w:t xml:space="preserve">док је производња трајних производа за широку потрошњу мања </w:t>
      </w:r>
      <w:r w:rsidR="00786934" w:rsidRPr="00EF1215">
        <w:rPr>
          <w:rFonts w:ascii="Arial Narrow" w:hAnsi="Arial Narrow" w:cs="Tahoma"/>
          <w:sz w:val="22"/>
          <w:lang w:val="sr-Cyrl-CS"/>
        </w:rPr>
        <w:t xml:space="preserve">за </w:t>
      </w:r>
      <w:r w:rsidR="007E1334" w:rsidRPr="00EF1215">
        <w:rPr>
          <w:rFonts w:ascii="Arial Narrow" w:hAnsi="Arial Narrow" w:cs="Tahoma"/>
          <w:sz w:val="22"/>
          <w:lang w:val="sr-Cyrl-CS"/>
        </w:rPr>
        <w:t>8</w:t>
      </w:r>
      <w:r w:rsidR="00786934" w:rsidRPr="00EF1215">
        <w:rPr>
          <w:rFonts w:ascii="Arial Narrow" w:hAnsi="Arial Narrow" w:cs="Tahoma"/>
          <w:sz w:val="22"/>
          <w:lang w:val="sr-Cyrl-CS"/>
        </w:rPr>
        <w:t>,</w:t>
      </w:r>
      <w:r w:rsidR="00153DA6" w:rsidRPr="00EF1215">
        <w:rPr>
          <w:rFonts w:ascii="Arial Narrow" w:hAnsi="Arial Narrow" w:cs="Tahoma"/>
          <w:sz w:val="22"/>
          <w:lang w:val="sr-Cyrl-CS"/>
        </w:rPr>
        <w:t>4</w:t>
      </w:r>
      <w:r w:rsidR="00786934" w:rsidRPr="00EF1215">
        <w:rPr>
          <w:rFonts w:ascii="Arial Narrow" w:hAnsi="Arial Narrow" w:cs="Tahoma"/>
          <w:sz w:val="22"/>
          <w:lang w:val="sr-Cyrl-CS"/>
        </w:rPr>
        <w:t>%</w:t>
      </w:r>
      <w:r w:rsidR="007E1334" w:rsidRPr="00EF1215">
        <w:rPr>
          <w:rFonts w:ascii="Arial Narrow" w:hAnsi="Arial Narrow" w:cs="Tahoma"/>
          <w:sz w:val="22"/>
          <w:lang w:val="sr-Cyrl-CS"/>
        </w:rPr>
        <w:t xml:space="preserve"> и</w:t>
      </w:r>
      <w:r w:rsidR="00153DA6" w:rsidRPr="00EF1215">
        <w:rPr>
          <w:rFonts w:ascii="Arial Narrow" w:hAnsi="Arial Narrow" w:cs="Tahoma"/>
          <w:sz w:val="22"/>
          <w:lang w:val="sr-Cyrl-CS"/>
        </w:rPr>
        <w:t xml:space="preserve"> нетрајних производа за широку потрошњу </w:t>
      </w:r>
      <w:r w:rsidRPr="00EF1215">
        <w:rPr>
          <w:rFonts w:ascii="Arial Narrow" w:hAnsi="Arial Narrow" w:cs="Tahoma"/>
          <w:sz w:val="22"/>
          <w:lang w:val="sr-Cyrl-CS"/>
        </w:rPr>
        <w:t xml:space="preserve">за </w:t>
      </w:r>
      <w:r w:rsidR="007E1334" w:rsidRPr="00EF1215">
        <w:rPr>
          <w:rFonts w:ascii="Arial Narrow" w:hAnsi="Arial Narrow" w:cs="Tahoma"/>
          <w:sz w:val="22"/>
          <w:lang w:val="sr-Cyrl-CS"/>
        </w:rPr>
        <w:t>15</w:t>
      </w:r>
      <w:r w:rsidR="00786934" w:rsidRPr="00EF1215">
        <w:rPr>
          <w:rFonts w:ascii="Arial Narrow" w:hAnsi="Arial Narrow" w:cs="Tahoma"/>
          <w:sz w:val="22"/>
          <w:lang w:val="bs-Latn-BA"/>
        </w:rPr>
        <w:t>,</w:t>
      </w:r>
      <w:r w:rsidR="007E1334" w:rsidRPr="00EF1215">
        <w:rPr>
          <w:rFonts w:ascii="Arial Narrow" w:hAnsi="Arial Narrow" w:cs="Tahoma"/>
          <w:sz w:val="22"/>
          <w:lang w:val="sr-Cyrl-BA"/>
        </w:rPr>
        <w:t>3</w:t>
      </w:r>
      <w:r w:rsidR="00786934" w:rsidRPr="00EF1215">
        <w:rPr>
          <w:rFonts w:ascii="Arial Narrow" w:hAnsi="Arial Narrow" w:cs="Tahoma"/>
          <w:sz w:val="22"/>
          <w:lang w:val="sr-Cyrl-CS"/>
        </w:rPr>
        <w:t>%</w:t>
      </w:r>
      <w:r w:rsidR="00FA6E91" w:rsidRPr="00EF1215">
        <w:rPr>
          <w:rFonts w:ascii="Arial Narrow" w:hAnsi="Arial Narrow" w:cs="Tahoma"/>
          <w:sz w:val="22"/>
          <w:lang w:val="sr-Cyrl-CS"/>
        </w:rPr>
        <w:t>.</w:t>
      </w:r>
    </w:p>
    <w:p w:rsidR="00F06D21" w:rsidRPr="00EF1215" w:rsidRDefault="00F06D21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372F3D" w:rsidRPr="00EF1215" w:rsidRDefault="00372F3D" w:rsidP="00372F3D">
      <w:pPr>
        <w:jc w:val="both"/>
        <w:rPr>
          <w:rFonts w:ascii="Arial Narrow" w:hAnsi="Arial Narrow" w:cs="Tahoma"/>
          <w:sz w:val="22"/>
          <w:lang w:val="sr-Cyrl-CS"/>
        </w:rPr>
      </w:pPr>
      <w:r w:rsidRPr="00EF1215">
        <w:rPr>
          <w:rFonts w:ascii="Arial Narrow" w:hAnsi="Arial Narrow" w:cs="Tahoma"/>
          <w:b/>
          <w:sz w:val="22"/>
          <w:lang w:val="sr-Cyrl-CS"/>
        </w:rPr>
        <w:t>Десезонирана</w:t>
      </w:r>
      <w:r w:rsidRPr="00EF1215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EF1215">
        <w:rPr>
          <w:rFonts w:ascii="Arial Narrow" w:hAnsi="Arial Narrow" w:cs="Tahoma"/>
          <w:sz w:val="22"/>
          <w:lang w:val="sr-Cyrl-BA"/>
        </w:rPr>
        <w:t xml:space="preserve"> у </w:t>
      </w:r>
      <w:r w:rsidR="007E1334" w:rsidRPr="00EF1215">
        <w:rPr>
          <w:rFonts w:ascii="Arial Narrow" w:hAnsi="Arial Narrow" w:cs="Tahoma"/>
          <w:spacing w:val="-2"/>
          <w:sz w:val="22"/>
          <w:lang w:val="sr-Cyrl-CS"/>
        </w:rPr>
        <w:t>децембру</w:t>
      </w:r>
      <w:r w:rsidRPr="00EF121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lang w:val="sr-Cyrl-BA"/>
        </w:rPr>
        <w:t>201</w:t>
      </w:r>
      <w:r w:rsidRPr="00EF1215">
        <w:rPr>
          <w:rFonts w:ascii="Arial Narrow" w:hAnsi="Arial Narrow" w:cs="Tahoma"/>
          <w:sz w:val="22"/>
          <w:lang w:val="sr-Cyrl-CS"/>
        </w:rPr>
        <w:t>6</w:t>
      </w:r>
      <w:r w:rsidRPr="00EF1215">
        <w:rPr>
          <w:rFonts w:ascii="Arial Narrow" w:hAnsi="Arial Narrow" w:cs="Tahoma"/>
          <w:sz w:val="22"/>
          <w:lang w:val="sr-Cyrl-BA"/>
        </w:rPr>
        <w:t>. године</w:t>
      </w:r>
      <w:r w:rsidRPr="00EF1215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EF1215">
        <w:rPr>
          <w:rFonts w:ascii="Arial Narrow" w:hAnsi="Arial Narrow" w:cs="Tahoma"/>
          <w:sz w:val="22"/>
          <w:lang w:val="sr-Cyrl-BA"/>
        </w:rPr>
        <w:t xml:space="preserve">у поређењу са </w:t>
      </w:r>
      <w:r w:rsidR="007E1334" w:rsidRPr="00EF1215">
        <w:rPr>
          <w:rFonts w:ascii="Arial Narrow" w:hAnsi="Arial Narrow" w:cs="Tahoma"/>
          <w:spacing w:val="-2"/>
          <w:sz w:val="22"/>
          <w:lang w:val="sr-Cyrl-CS"/>
        </w:rPr>
        <w:t>новембром</w:t>
      </w:r>
      <w:r w:rsidRPr="00EF1215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EF1215">
        <w:rPr>
          <w:rFonts w:ascii="Arial Narrow" w:hAnsi="Arial Narrow" w:cs="Tahoma"/>
          <w:sz w:val="22"/>
          <w:lang w:val="ru-RU"/>
        </w:rPr>
        <w:t>2016.</w:t>
      </w:r>
      <w:r w:rsidRPr="00EF1215">
        <w:rPr>
          <w:rFonts w:ascii="Arial Narrow" w:hAnsi="Arial Narrow" w:cs="Tahoma"/>
          <w:sz w:val="22"/>
          <w:lang w:val="sr-Cyrl-BA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7E1334" w:rsidRPr="00EF1215">
        <w:rPr>
          <w:rFonts w:ascii="Arial Narrow" w:hAnsi="Arial Narrow" w:cs="Tahoma"/>
          <w:sz w:val="22"/>
          <w:lang w:val="sr-Cyrl-CS"/>
        </w:rPr>
        <w:t>5</w:t>
      </w:r>
      <w:r w:rsidRPr="00EF1215">
        <w:rPr>
          <w:rFonts w:ascii="Arial Narrow" w:hAnsi="Arial Narrow" w:cs="Tahoma"/>
          <w:sz w:val="22"/>
          <w:lang w:val="sr-Cyrl-CS"/>
        </w:rPr>
        <w:t>,</w:t>
      </w:r>
      <w:r w:rsidR="007E1334" w:rsidRPr="00EF1215">
        <w:rPr>
          <w:rFonts w:ascii="Arial Narrow" w:hAnsi="Arial Narrow" w:cs="Tahoma"/>
          <w:sz w:val="22"/>
          <w:lang w:val="sr-Cyrl-CS"/>
        </w:rPr>
        <w:t>3</w:t>
      </w:r>
      <w:r w:rsidRPr="00EF1215">
        <w:rPr>
          <w:rFonts w:ascii="Arial Narrow" w:hAnsi="Arial Narrow" w:cs="Tahoma"/>
          <w:sz w:val="22"/>
          <w:lang w:val="sr-Cyrl-CS"/>
        </w:rPr>
        <w:t>%.</w:t>
      </w:r>
      <w:r w:rsidRPr="00EF1215">
        <w:rPr>
          <w:rFonts w:ascii="Arial Narrow" w:hAnsi="Arial Narrow" w:cs="Tahoma"/>
          <w:sz w:val="22"/>
          <w:lang w:val="sr-Cyrl-BA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>У</w:t>
      </w:r>
      <w:r w:rsidRPr="00EF1215">
        <w:rPr>
          <w:rFonts w:ascii="Arial Narrow" w:hAnsi="Arial Narrow" w:cs="Tahoma"/>
          <w:sz w:val="22"/>
          <w:lang w:val="sr-Cyrl-BA"/>
        </w:rPr>
        <w:t xml:space="preserve"> </w:t>
      </w:r>
      <w:r w:rsidR="00850A97" w:rsidRPr="00EF1215">
        <w:rPr>
          <w:rFonts w:ascii="Arial Narrow" w:hAnsi="Arial Narrow" w:cs="Tahoma"/>
          <w:sz w:val="22"/>
          <w:lang w:val="sr-Cyrl-BA"/>
        </w:rPr>
        <w:t xml:space="preserve">подручју </w:t>
      </w:r>
      <w:r w:rsidR="00850A97" w:rsidRPr="00EF1215">
        <w:rPr>
          <w:rFonts w:ascii="Arial Narrow" w:hAnsi="Arial Narrow" w:cs="Tahoma"/>
          <w:i/>
          <w:sz w:val="22"/>
          <w:lang w:val="sr-Cyrl-BA"/>
        </w:rPr>
        <w:t>Вађењ</w:t>
      </w:r>
      <w:r w:rsidR="0013614B" w:rsidRPr="00EF1215">
        <w:rPr>
          <w:rFonts w:ascii="Arial Narrow" w:hAnsi="Arial Narrow" w:cs="Tahoma"/>
          <w:i/>
          <w:sz w:val="22"/>
          <w:lang w:val="sr-Cyrl-BA"/>
        </w:rPr>
        <w:t>е</w:t>
      </w:r>
      <w:r w:rsidR="00850A97" w:rsidRPr="00EF1215">
        <w:rPr>
          <w:rFonts w:ascii="Arial Narrow" w:hAnsi="Arial Narrow" w:cs="Tahoma"/>
          <w:i/>
          <w:sz w:val="22"/>
          <w:lang w:val="sr-Cyrl-BA"/>
        </w:rPr>
        <w:t xml:space="preserve"> руда и камена </w:t>
      </w:r>
      <w:r w:rsidR="007E1334" w:rsidRPr="00EF1215">
        <w:rPr>
          <w:rFonts w:ascii="Arial Narrow" w:hAnsi="Arial Narrow" w:cs="Tahoma"/>
          <w:sz w:val="22"/>
          <w:lang w:val="sr-Cyrl-CS"/>
        </w:rPr>
        <w:t xml:space="preserve">остварен </w:t>
      </w:r>
      <w:r w:rsidRPr="00EF1215">
        <w:rPr>
          <w:rFonts w:ascii="Arial Narrow" w:hAnsi="Arial Narrow" w:cs="Tahoma"/>
          <w:sz w:val="22"/>
          <w:lang w:val="sr-Cyrl-CS"/>
        </w:rPr>
        <w:t>је</w:t>
      </w:r>
      <w:r w:rsidR="00850A97" w:rsidRPr="00EF1215">
        <w:rPr>
          <w:rFonts w:ascii="Arial Narrow" w:hAnsi="Arial Narrow" w:cs="Tahoma"/>
          <w:sz w:val="22"/>
          <w:lang w:val="sr-Cyrl-CS"/>
        </w:rPr>
        <w:t xml:space="preserve"> </w:t>
      </w:r>
      <w:r w:rsidR="007E1334" w:rsidRPr="00EF1215">
        <w:rPr>
          <w:rFonts w:ascii="Arial Narrow" w:hAnsi="Arial Narrow" w:cs="Tahoma"/>
          <w:sz w:val="22"/>
          <w:lang w:val="sr-Cyrl-CS"/>
        </w:rPr>
        <w:t>раст</w:t>
      </w:r>
      <w:r w:rsidRPr="00EF1215">
        <w:rPr>
          <w:rFonts w:ascii="Arial Narrow" w:hAnsi="Arial Narrow" w:cs="Tahoma"/>
          <w:sz w:val="22"/>
          <w:lang w:val="sr-Cyrl-BA"/>
        </w:rPr>
        <w:t xml:space="preserve"> од </w:t>
      </w:r>
      <w:r w:rsidR="007E1334" w:rsidRPr="00EF1215">
        <w:rPr>
          <w:rFonts w:ascii="Arial Narrow" w:hAnsi="Arial Narrow" w:cs="Tahoma"/>
          <w:sz w:val="22"/>
          <w:lang w:val="sr-Cyrl-BA"/>
        </w:rPr>
        <w:t>10</w:t>
      </w:r>
      <w:r w:rsidRPr="00EF1215">
        <w:rPr>
          <w:rFonts w:ascii="Arial Narrow" w:hAnsi="Arial Narrow" w:cs="Tahoma"/>
          <w:sz w:val="22"/>
          <w:lang w:val="sr-Cyrl-CS"/>
        </w:rPr>
        <w:t>,</w:t>
      </w:r>
      <w:r w:rsidR="007E1334" w:rsidRPr="00EF1215">
        <w:rPr>
          <w:rFonts w:ascii="Arial Narrow" w:hAnsi="Arial Narrow" w:cs="Tahoma"/>
          <w:sz w:val="22"/>
          <w:lang w:val="sr-Cyrl-CS"/>
        </w:rPr>
        <w:t>9</w:t>
      </w:r>
      <w:r w:rsidRPr="00EF1215">
        <w:rPr>
          <w:rFonts w:ascii="Arial Narrow" w:hAnsi="Arial Narrow" w:cs="Tahoma"/>
          <w:sz w:val="22"/>
          <w:lang w:val="sr-Cyrl-BA"/>
        </w:rPr>
        <w:t>%</w:t>
      </w:r>
      <w:r w:rsidR="007E1334" w:rsidRPr="00EF1215">
        <w:rPr>
          <w:rFonts w:ascii="Arial Narrow" w:hAnsi="Arial Narrow" w:cs="Tahoma"/>
          <w:sz w:val="22"/>
          <w:lang w:val="sr-Cyrl-BA"/>
        </w:rPr>
        <w:t>,</w:t>
      </w:r>
      <w:r w:rsidRPr="00EF1215">
        <w:rPr>
          <w:rFonts w:ascii="Arial Narrow" w:hAnsi="Arial Narrow" w:cs="Tahoma"/>
          <w:sz w:val="22"/>
          <w:lang w:val="sr-Cyrl-BA"/>
        </w:rPr>
        <w:t xml:space="preserve"> у </w:t>
      </w:r>
      <w:r w:rsidR="00850A97" w:rsidRPr="00EF1215">
        <w:rPr>
          <w:rFonts w:ascii="Arial Narrow" w:hAnsi="Arial Narrow" w:cs="Tahoma"/>
          <w:sz w:val="22"/>
          <w:lang w:val="sr-Cyrl-BA"/>
        </w:rPr>
        <w:t xml:space="preserve">подручју </w:t>
      </w:r>
      <w:r w:rsidR="00850A97" w:rsidRPr="00EF121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850A97" w:rsidRPr="00EF1215">
        <w:rPr>
          <w:rFonts w:ascii="Arial Narrow" w:hAnsi="Arial Narrow" w:cs="Tahoma"/>
          <w:sz w:val="22"/>
          <w:lang w:val="sr-Cyrl-CS"/>
        </w:rPr>
        <w:t xml:space="preserve"> </w:t>
      </w:r>
      <w:r w:rsidR="007E1334" w:rsidRPr="00EF1215">
        <w:rPr>
          <w:rFonts w:ascii="Arial Narrow" w:hAnsi="Arial Narrow" w:cs="Tahoma"/>
          <w:sz w:val="22"/>
          <w:lang w:val="sr-Cyrl-BA"/>
        </w:rPr>
        <w:t>раст</w:t>
      </w:r>
      <w:r w:rsidR="00850A97" w:rsidRPr="00EF1215">
        <w:rPr>
          <w:rFonts w:ascii="Arial Narrow" w:hAnsi="Arial Narrow" w:cs="Tahoma"/>
          <w:sz w:val="22"/>
          <w:lang w:val="sr-Cyrl-BA"/>
        </w:rPr>
        <w:t xml:space="preserve"> од</w:t>
      </w:r>
      <w:r w:rsidR="00850A97" w:rsidRPr="00EF1215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E1334" w:rsidRPr="00EF1215">
        <w:rPr>
          <w:rFonts w:ascii="Arial Narrow" w:hAnsi="Arial Narrow" w:cs="Tahoma"/>
          <w:i/>
          <w:sz w:val="22"/>
          <w:lang w:val="sr-Cyrl-BA"/>
        </w:rPr>
        <w:t>8</w:t>
      </w:r>
      <w:r w:rsidR="00850A97" w:rsidRPr="00EF1215">
        <w:rPr>
          <w:rFonts w:ascii="Arial Narrow" w:hAnsi="Arial Narrow" w:cs="Tahoma"/>
          <w:i/>
          <w:sz w:val="22"/>
          <w:lang w:val="sr-Cyrl-BA"/>
        </w:rPr>
        <w:t>,</w:t>
      </w:r>
      <w:r w:rsidR="007E1334" w:rsidRPr="00EF1215">
        <w:rPr>
          <w:rFonts w:ascii="Arial Narrow" w:hAnsi="Arial Narrow" w:cs="Tahoma"/>
          <w:i/>
          <w:sz w:val="22"/>
          <w:lang w:val="sr-Cyrl-BA"/>
        </w:rPr>
        <w:t>3</w:t>
      </w:r>
      <w:r w:rsidR="00850A97" w:rsidRPr="00EF1215">
        <w:rPr>
          <w:rFonts w:ascii="Arial Narrow" w:hAnsi="Arial Narrow" w:cs="Tahoma"/>
          <w:i/>
          <w:sz w:val="22"/>
          <w:lang w:val="sr-Cyrl-BA"/>
        </w:rPr>
        <w:t>%</w:t>
      </w:r>
      <w:r w:rsidR="007E1334" w:rsidRPr="00EF1215">
        <w:rPr>
          <w:rFonts w:ascii="Arial Narrow" w:hAnsi="Arial Narrow" w:cs="Tahoma"/>
          <w:sz w:val="22"/>
          <w:lang w:val="sr-Cyrl-BA"/>
        </w:rPr>
        <w:t xml:space="preserve"> и</w:t>
      </w:r>
      <w:r w:rsidR="0013614B" w:rsidRPr="00EF1215">
        <w:rPr>
          <w:rFonts w:ascii="Arial Narrow" w:hAnsi="Arial Narrow" w:cs="Tahoma"/>
          <w:sz w:val="22"/>
          <w:lang w:val="sr-Cyrl-BA"/>
        </w:rPr>
        <w:t xml:space="preserve"> у </w:t>
      </w:r>
      <w:r w:rsidRPr="00EF1215">
        <w:rPr>
          <w:rFonts w:ascii="Arial Narrow" w:hAnsi="Arial Narrow" w:cs="Tahoma"/>
          <w:sz w:val="22"/>
          <w:lang w:val="sr-Cyrl-BA"/>
        </w:rPr>
        <w:t xml:space="preserve">подручју </w:t>
      </w:r>
      <w:r w:rsidRPr="00EF1215">
        <w:rPr>
          <w:rFonts w:ascii="Arial Narrow" w:hAnsi="Arial Narrow" w:cs="Tahoma"/>
          <w:i/>
          <w:sz w:val="22"/>
          <w:lang w:val="sr-Cyrl-BA"/>
        </w:rPr>
        <w:t>Прерађивачка индустрија</w:t>
      </w:r>
      <w:r w:rsidRPr="00EF1215">
        <w:rPr>
          <w:rFonts w:ascii="Arial Narrow" w:hAnsi="Arial Narrow" w:cs="Tahoma"/>
          <w:sz w:val="22"/>
          <w:lang w:val="sr-Cyrl-CS"/>
        </w:rPr>
        <w:t xml:space="preserve"> раст од </w:t>
      </w:r>
      <w:r w:rsidR="007E1334" w:rsidRPr="00EF1215">
        <w:rPr>
          <w:rFonts w:ascii="Arial Narrow" w:hAnsi="Arial Narrow" w:cs="Tahoma"/>
          <w:sz w:val="22"/>
          <w:lang w:val="sr-Cyrl-CS"/>
        </w:rPr>
        <w:t>6</w:t>
      </w:r>
      <w:r w:rsidRPr="00EF1215">
        <w:rPr>
          <w:rFonts w:ascii="Arial Narrow" w:hAnsi="Arial Narrow" w:cs="Tahoma"/>
          <w:sz w:val="22"/>
          <w:lang w:val="sr-Cyrl-CS"/>
        </w:rPr>
        <w:t>,</w:t>
      </w:r>
      <w:r w:rsidR="0013614B" w:rsidRPr="00EF1215">
        <w:rPr>
          <w:rFonts w:ascii="Arial Narrow" w:hAnsi="Arial Narrow" w:cs="Tahoma"/>
          <w:sz w:val="22"/>
          <w:lang w:val="sr-Cyrl-CS"/>
        </w:rPr>
        <w:t>1</w:t>
      </w:r>
      <w:r w:rsidRPr="00EF1215">
        <w:rPr>
          <w:rFonts w:ascii="Arial Narrow" w:hAnsi="Arial Narrow" w:cs="Tahoma"/>
          <w:sz w:val="22"/>
          <w:lang w:val="sr-Cyrl-CS"/>
        </w:rPr>
        <w:t xml:space="preserve">%. </w:t>
      </w:r>
      <w:r w:rsidRPr="00EF1215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EF1215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EF1215">
        <w:rPr>
          <w:rFonts w:ascii="Arial Narrow" w:hAnsi="Arial Narrow" w:cs="Tahoma"/>
          <w:sz w:val="22"/>
          <w:lang w:val="sr-Cyrl-CS"/>
        </w:rPr>
        <w:t xml:space="preserve"> енергије у </w:t>
      </w:r>
      <w:r w:rsidR="007E1334" w:rsidRPr="00EF1215">
        <w:rPr>
          <w:rFonts w:ascii="Arial Narrow" w:hAnsi="Arial Narrow" w:cs="Tahoma"/>
          <w:spacing w:val="-2"/>
          <w:sz w:val="22"/>
          <w:lang w:val="sr-Cyrl-CS"/>
        </w:rPr>
        <w:t>децембру</w:t>
      </w:r>
      <w:r w:rsidRPr="00EF121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 xml:space="preserve">2016. </w:t>
      </w:r>
      <w:r w:rsidRPr="00EF1215">
        <w:rPr>
          <w:rFonts w:ascii="Arial Narrow" w:hAnsi="Arial Narrow" w:cs="Tahoma"/>
          <w:sz w:val="22"/>
          <w:lang w:val="sr-Cyrl-BA"/>
        </w:rPr>
        <w:t>г</w:t>
      </w:r>
      <w:r w:rsidRPr="00EF1215">
        <w:rPr>
          <w:rFonts w:ascii="Arial Narrow" w:hAnsi="Arial Narrow" w:cs="Tahoma"/>
          <w:sz w:val="22"/>
          <w:lang w:val="sr-Cyrl-CS"/>
        </w:rPr>
        <w:t>одине</w:t>
      </w:r>
      <w:r w:rsidRPr="00EF1215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 xml:space="preserve">у поређењу </w:t>
      </w:r>
      <w:r w:rsidRPr="00EF1215">
        <w:rPr>
          <w:rFonts w:ascii="Arial Narrow" w:hAnsi="Arial Narrow" w:cs="Tahoma"/>
          <w:sz w:val="22"/>
          <w:lang w:val="sr-Cyrl-BA"/>
        </w:rPr>
        <w:t xml:space="preserve">са </w:t>
      </w:r>
      <w:r w:rsidR="007E1334" w:rsidRPr="00EF1215">
        <w:rPr>
          <w:rFonts w:ascii="Arial Narrow" w:hAnsi="Arial Narrow" w:cs="Tahoma"/>
          <w:spacing w:val="-2"/>
          <w:sz w:val="22"/>
          <w:lang w:val="sr-Cyrl-CS"/>
        </w:rPr>
        <w:t>новембром</w:t>
      </w:r>
      <w:r w:rsidRPr="00EF121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lang w:val="ru-RU"/>
        </w:rPr>
        <w:t>201</w:t>
      </w:r>
      <w:r w:rsidR="0013614B" w:rsidRPr="00EF1215">
        <w:rPr>
          <w:rFonts w:ascii="Arial Narrow" w:hAnsi="Arial Narrow" w:cs="Tahoma"/>
          <w:sz w:val="22"/>
          <w:lang w:val="ru-RU"/>
        </w:rPr>
        <w:t>6.</w:t>
      </w:r>
      <w:r w:rsidRPr="00EF1215">
        <w:rPr>
          <w:rFonts w:ascii="Arial Narrow" w:hAnsi="Arial Narrow" w:cs="Tahoma"/>
          <w:sz w:val="22"/>
          <w:lang w:val="sr-Cyrl-CS"/>
        </w:rPr>
        <w:t xml:space="preserve"> већа је за </w:t>
      </w:r>
      <w:r w:rsidR="007E1334" w:rsidRPr="00EF1215">
        <w:rPr>
          <w:rFonts w:ascii="Arial Narrow" w:hAnsi="Arial Narrow" w:cs="Tahoma"/>
          <w:sz w:val="22"/>
          <w:lang w:val="sr-Cyrl-CS"/>
        </w:rPr>
        <w:t>7</w:t>
      </w:r>
      <w:r w:rsidRPr="00EF1215">
        <w:rPr>
          <w:rFonts w:ascii="Arial Narrow" w:hAnsi="Arial Narrow" w:cs="Tahoma"/>
          <w:sz w:val="22"/>
          <w:lang w:val="sr-Cyrl-CS"/>
        </w:rPr>
        <w:t>,</w:t>
      </w:r>
      <w:r w:rsidR="007E1334" w:rsidRPr="00EF1215">
        <w:rPr>
          <w:rFonts w:ascii="Arial Narrow" w:hAnsi="Arial Narrow" w:cs="Tahoma"/>
          <w:sz w:val="22"/>
          <w:lang w:val="sr-Cyrl-CS"/>
        </w:rPr>
        <w:t>9</w:t>
      </w:r>
      <w:r w:rsidRPr="00EF1215">
        <w:rPr>
          <w:rFonts w:ascii="Arial Narrow" w:hAnsi="Arial Narrow" w:cs="Tahoma"/>
          <w:sz w:val="22"/>
          <w:lang w:val="sr-Cyrl-CS"/>
        </w:rPr>
        <w:t xml:space="preserve">%, </w:t>
      </w:r>
      <w:r w:rsidR="007E1334" w:rsidRPr="00EF1215">
        <w:rPr>
          <w:rFonts w:ascii="Arial Narrow" w:hAnsi="Arial Narrow" w:cs="Tahoma"/>
          <w:sz w:val="22"/>
          <w:lang w:val="sr-Cyrl-CS"/>
        </w:rPr>
        <w:t xml:space="preserve">интермедијарних производа </w:t>
      </w:r>
      <w:r w:rsidRPr="00EF1215">
        <w:rPr>
          <w:rFonts w:ascii="Arial Narrow" w:hAnsi="Arial Narrow" w:cs="Tahoma"/>
          <w:sz w:val="22"/>
          <w:lang w:val="sr-Cyrl-CS"/>
        </w:rPr>
        <w:t xml:space="preserve">за </w:t>
      </w:r>
      <w:r w:rsidR="007E1334" w:rsidRPr="00EF1215">
        <w:rPr>
          <w:rFonts w:ascii="Arial Narrow" w:hAnsi="Arial Narrow" w:cs="Tahoma"/>
          <w:sz w:val="22"/>
          <w:lang w:val="sr-Cyrl-CS"/>
        </w:rPr>
        <w:t>4</w:t>
      </w:r>
      <w:r w:rsidRPr="00EF1215">
        <w:rPr>
          <w:rFonts w:ascii="Arial Narrow" w:hAnsi="Arial Narrow" w:cs="Tahoma"/>
          <w:sz w:val="22"/>
          <w:lang w:val="sr-Cyrl-CS"/>
        </w:rPr>
        <w:t>,</w:t>
      </w:r>
      <w:r w:rsidR="007E1334" w:rsidRPr="00EF1215">
        <w:rPr>
          <w:rFonts w:ascii="Arial Narrow" w:hAnsi="Arial Narrow" w:cs="Tahoma"/>
          <w:sz w:val="22"/>
          <w:lang w:val="sr-Cyrl-CS"/>
        </w:rPr>
        <w:t>2</w:t>
      </w:r>
      <w:r w:rsidRPr="00EF1215">
        <w:rPr>
          <w:rFonts w:ascii="Arial Narrow" w:hAnsi="Arial Narrow" w:cs="Tahoma"/>
          <w:sz w:val="22"/>
          <w:lang w:val="sr-Cyrl-CS"/>
        </w:rPr>
        <w:t>%</w:t>
      </w:r>
      <w:r w:rsidR="0013614B" w:rsidRPr="00EF1215">
        <w:rPr>
          <w:rFonts w:ascii="Arial Narrow" w:hAnsi="Arial Narrow" w:cs="Tahoma"/>
          <w:sz w:val="22"/>
          <w:lang w:val="sr-Cyrl-CS"/>
        </w:rPr>
        <w:t xml:space="preserve"> и</w:t>
      </w:r>
      <w:r w:rsidRPr="00EF1215">
        <w:rPr>
          <w:rFonts w:ascii="Arial Narrow" w:hAnsi="Arial Narrow" w:cs="Tahoma"/>
          <w:sz w:val="22"/>
          <w:lang w:val="sr-Cyrl-CS"/>
        </w:rPr>
        <w:t xml:space="preserve"> </w:t>
      </w:r>
      <w:r w:rsidR="007E1334" w:rsidRPr="00EF1215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7E1334" w:rsidRPr="00EF1215">
        <w:rPr>
          <w:rFonts w:ascii="Arial Narrow" w:hAnsi="Arial Narrow" w:cs="Tahoma"/>
          <w:sz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 xml:space="preserve">за </w:t>
      </w:r>
      <w:r w:rsidR="007E1334" w:rsidRPr="00EF1215">
        <w:rPr>
          <w:rFonts w:ascii="Arial Narrow" w:hAnsi="Arial Narrow" w:cs="Tahoma"/>
          <w:sz w:val="22"/>
          <w:lang w:val="sr-Cyrl-CS"/>
        </w:rPr>
        <w:t>3</w:t>
      </w:r>
      <w:r w:rsidRPr="00EF1215">
        <w:rPr>
          <w:rFonts w:ascii="Arial Narrow" w:hAnsi="Arial Narrow" w:cs="Tahoma"/>
          <w:sz w:val="22"/>
          <w:lang w:val="sr-Cyrl-CS"/>
        </w:rPr>
        <w:t>,</w:t>
      </w:r>
      <w:r w:rsidR="007E1334" w:rsidRPr="00EF1215">
        <w:rPr>
          <w:rFonts w:ascii="Arial Narrow" w:hAnsi="Arial Narrow" w:cs="Tahoma"/>
          <w:sz w:val="22"/>
          <w:lang w:val="sr-Cyrl-CS"/>
        </w:rPr>
        <w:t>0</w:t>
      </w:r>
      <w:r w:rsidRPr="00EF1215">
        <w:rPr>
          <w:rFonts w:ascii="Arial Narrow" w:hAnsi="Arial Narrow" w:cs="Tahoma"/>
          <w:sz w:val="22"/>
          <w:lang w:val="sr-Cyrl-CS"/>
        </w:rPr>
        <w:t>%</w:t>
      </w:r>
      <w:r w:rsidR="0013614B" w:rsidRPr="00EF1215">
        <w:rPr>
          <w:rFonts w:ascii="Arial Narrow" w:hAnsi="Arial Narrow" w:cs="Tahoma"/>
          <w:sz w:val="22"/>
          <w:lang w:val="sr-Cyrl-CS"/>
        </w:rPr>
        <w:t>,</w:t>
      </w:r>
      <w:r w:rsidRPr="00EF1215">
        <w:rPr>
          <w:rFonts w:ascii="Arial Narrow" w:hAnsi="Arial Narrow" w:cs="Tahoma"/>
          <w:sz w:val="22"/>
          <w:lang w:val="sr-Cyrl-CS"/>
        </w:rPr>
        <w:t xml:space="preserve"> </w:t>
      </w:r>
      <w:r w:rsidR="0013614B" w:rsidRPr="00EF1215">
        <w:rPr>
          <w:rFonts w:ascii="Arial Narrow" w:hAnsi="Arial Narrow" w:cs="Tahoma"/>
          <w:sz w:val="22"/>
          <w:lang w:val="sr-Cyrl-CS"/>
        </w:rPr>
        <w:t>док је производња</w:t>
      </w:r>
      <w:r w:rsidRPr="00EF1215">
        <w:rPr>
          <w:rFonts w:ascii="Arial Narrow" w:hAnsi="Arial Narrow" w:cs="Tahoma"/>
          <w:sz w:val="22"/>
          <w:lang w:val="sr-Cyrl-CS"/>
        </w:rPr>
        <w:t xml:space="preserve"> </w:t>
      </w:r>
      <w:r w:rsidR="007E1334" w:rsidRPr="00EF1215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="0013614B" w:rsidRPr="00EF1215">
        <w:rPr>
          <w:rFonts w:ascii="Arial Narrow" w:hAnsi="Arial Narrow" w:cs="Tahoma"/>
          <w:sz w:val="22"/>
          <w:lang w:val="sr-Cyrl-CS"/>
        </w:rPr>
        <w:t xml:space="preserve">мања </w:t>
      </w:r>
      <w:r w:rsidRPr="00EF1215">
        <w:rPr>
          <w:rFonts w:ascii="Arial Narrow" w:hAnsi="Arial Narrow" w:cs="Tahoma"/>
          <w:sz w:val="22"/>
          <w:lang w:val="sr-Cyrl-CS"/>
        </w:rPr>
        <w:t xml:space="preserve">за </w:t>
      </w:r>
      <w:r w:rsidR="007E1334" w:rsidRPr="00EF1215">
        <w:rPr>
          <w:rFonts w:ascii="Arial Narrow" w:hAnsi="Arial Narrow" w:cs="Tahoma"/>
          <w:sz w:val="22"/>
          <w:lang w:val="sr-Cyrl-CS"/>
        </w:rPr>
        <w:t>2</w:t>
      </w:r>
      <w:r w:rsidRPr="00EF1215">
        <w:rPr>
          <w:rFonts w:ascii="Arial Narrow" w:hAnsi="Arial Narrow" w:cs="Tahoma"/>
          <w:sz w:val="22"/>
          <w:lang w:val="sr-Cyrl-CS"/>
        </w:rPr>
        <w:t>,</w:t>
      </w:r>
      <w:r w:rsidR="007E1334" w:rsidRPr="00EF1215">
        <w:rPr>
          <w:rFonts w:ascii="Arial Narrow" w:hAnsi="Arial Narrow" w:cs="Tahoma"/>
          <w:sz w:val="22"/>
          <w:lang w:val="sr-Cyrl-CS"/>
        </w:rPr>
        <w:t>8</w:t>
      </w:r>
      <w:r w:rsidRPr="00EF1215">
        <w:rPr>
          <w:rFonts w:ascii="Arial Narrow" w:hAnsi="Arial Narrow" w:cs="Tahoma"/>
          <w:sz w:val="22"/>
          <w:lang w:val="sr-Cyrl-CS"/>
        </w:rPr>
        <w:t>%</w:t>
      </w:r>
      <w:r w:rsidR="0013614B" w:rsidRPr="00EF1215">
        <w:rPr>
          <w:rFonts w:ascii="Arial Narrow" w:hAnsi="Arial Narrow" w:cs="Tahoma"/>
          <w:sz w:val="22"/>
          <w:lang w:val="sr-Cyrl-CS"/>
        </w:rPr>
        <w:t xml:space="preserve"> и</w:t>
      </w:r>
      <w:r w:rsidRPr="00EF1215">
        <w:rPr>
          <w:rFonts w:ascii="Arial Narrow" w:hAnsi="Arial Narrow" w:cs="Tahoma"/>
          <w:sz w:val="22"/>
          <w:lang w:val="sr-Cyrl-CS"/>
        </w:rPr>
        <w:t xml:space="preserve"> </w:t>
      </w:r>
      <w:r w:rsidR="007E1334" w:rsidRPr="00EF1215">
        <w:rPr>
          <w:rFonts w:ascii="Arial Narrow" w:hAnsi="Arial Narrow" w:cs="Tahoma"/>
          <w:sz w:val="22"/>
          <w:lang w:val="sr-Cyrl-CS"/>
        </w:rPr>
        <w:t>трајних производа за широку потрошњу</w:t>
      </w:r>
      <w:r w:rsidR="007E1334" w:rsidRPr="00EF121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 xml:space="preserve">за </w:t>
      </w:r>
      <w:r w:rsidR="007E1334" w:rsidRPr="00EF1215">
        <w:rPr>
          <w:rFonts w:ascii="Arial Narrow" w:hAnsi="Arial Narrow" w:cs="Tahoma"/>
          <w:sz w:val="22"/>
          <w:lang w:val="sr-Cyrl-CS"/>
        </w:rPr>
        <w:t>5</w:t>
      </w:r>
      <w:r w:rsidRPr="00EF1215">
        <w:rPr>
          <w:rFonts w:ascii="Arial Narrow" w:hAnsi="Arial Narrow" w:cs="Tahoma"/>
          <w:sz w:val="22"/>
          <w:lang w:val="bs-Latn-BA"/>
        </w:rPr>
        <w:t>,</w:t>
      </w:r>
      <w:r w:rsidR="007E1334" w:rsidRPr="00EF1215">
        <w:rPr>
          <w:rFonts w:ascii="Arial Narrow" w:hAnsi="Arial Narrow" w:cs="Tahoma"/>
          <w:sz w:val="22"/>
          <w:lang w:val="sr-Cyrl-BA"/>
        </w:rPr>
        <w:t>1</w:t>
      </w:r>
      <w:r w:rsidRPr="00EF1215">
        <w:rPr>
          <w:rFonts w:ascii="Arial Narrow" w:hAnsi="Arial Narrow" w:cs="Tahoma"/>
          <w:sz w:val="22"/>
          <w:lang w:val="sr-Cyrl-CS"/>
        </w:rPr>
        <w:t>%.</w:t>
      </w:r>
    </w:p>
    <w:p w:rsidR="00372F3D" w:rsidRPr="00EF1215" w:rsidRDefault="00372F3D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166F34" w:rsidRPr="00EF1215" w:rsidRDefault="00166F34" w:rsidP="00166F34">
      <w:pPr>
        <w:jc w:val="both"/>
        <w:rPr>
          <w:rFonts w:ascii="Arial Narrow" w:hAnsi="Arial Narrow" w:cs="Tahoma"/>
          <w:sz w:val="22"/>
          <w:lang w:val="ru-RU"/>
        </w:rPr>
      </w:pPr>
      <w:r w:rsidRPr="00EF1215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EF1215">
        <w:rPr>
          <w:rFonts w:ascii="Arial Narrow" w:hAnsi="Arial Narrow" w:cs="Tahoma"/>
          <w:sz w:val="22"/>
          <w:lang w:val="ru-RU"/>
        </w:rPr>
        <w:t xml:space="preserve"> у </w:t>
      </w:r>
      <w:r w:rsidR="007E1334" w:rsidRPr="00EF1215">
        <w:rPr>
          <w:rFonts w:ascii="Arial Narrow" w:hAnsi="Arial Narrow" w:cs="Tahoma"/>
          <w:spacing w:val="-2"/>
          <w:sz w:val="22"/>
          <w:lang w:val="sr-Cyrl-CS"/>
        </w:rPr>
        <w:t>децембру</w:t>
      </w:r>
      <w:r w:rsidR="00A905EA" w:rsidRPr="00EF121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lang w:val="ru-RU"/>
        </w:rPr>
        <w:t>201</w:t>
      </w:r>
      <w:r w:rsidR="00A905EA" w:rsidRPr="00EF1215">
        <w:rPr>
          <w:rFonts w:ascii="Arial Narrow" w:hAnsi="Arial Narrow" w:cs="Tahoma"/>
          <w:sz w:val="22"/>
          <w:lang w:val="ru-RU"/>
        </w:rPr>
        <w:t>6</w:t>
      </w:r>
      <w:r w:rsidRPr="00EF1215">
        <w:rPr>
          <w:rFonts w:ascii="Arial Narrow" w:hAnsi="Arial Narrow" w:cs="Tahoma"/>
          <w:sz w:val="22"/>
          <w:lang w:val="ru-RU"/>
        </w:rPr>
        <w:t xml:space="preserve">. године </w:t>
      </w:r>
      <w:r w:rsidRPr="00EF1215">
        <w:rPr>
          <w:rFonts w:ascii="Arial Narrow" w:hAnsi="Arial Narrow" w:cs="Tahoma"/>
          <w:sz w:val="22"/>
          <w:lang w:val="sr-Cyrl-CS"/>
        </w:rPr>
        <w:t xml:space="preserve">у </w:t>
      </w:r>
      <w:r w:rsidRPr="00EF1215">
        <w:rPr>
          <w:rFonts w:ascii="Arial Narrow" w:hAnsi="Arial Narrow" w:cs="Tahoma"/>
          <w:sz w:val="22"/>
          <w:lang w:val="ru-RU"/>
        </w:rPr>
        <w:t xml:space="preserve">односу </w:t>
      </w:r>
      <w:r w:rsidR="004D287F" w:rsidRPr="00EF1215">
        <w:rPr>
          <w:rFonts w:ascii="Arial Narrow" w:hAnsi="Arial Narrow" w:cs="Tahoma"/>
          <w:sz w:val="22"/>
          <w:lang w:val="ru-RU"/>
        </w:rPr>
        <w:t xml:space="preserve">на </w:t>
      </w:r>
      <w:r w:rsidR="00300B8C" w:rsidRPr="00EF1215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300B8C" w:rsidRPr="00EF1215">
        <w:rPr>
          <w:rFonts w:ascii="Arial Narrow" w:hAnsi="Arial Narrow" w:cs="Tahoma"/>
          <w:sz w:val="22"/>
          <w:lang w:val="sr-Cyrl-CS"/>
        </w:rPr>
        <w:t>5</w:t>
      </w:r>
      <w:r w:rsidR="00300B8C" w:rsidRPr="00EF1215">
        <w:rPr>
          <w:rFonts w:ascii="Arial Narrow" w:hAnsi="Arial Narrow" w:cs="Tahoma"/>
          <w:sz w:val="22"/>
          <w:lang w:val="sr-Latn-CS"/>
        </w:rPr>
        <w:t xml:space="preserve">. </w:t>
      </w:r>
      <w:r w:rsidR="007E1334" w:rsidRPr="00EF1215">
        <w:rPr>
          <w:rFonts w:ascii="Arial Narrow" w:hAnsi="Arial Narrow" w:cs="Tahoma"/>
          <w:sz w:val="22"/>
          <w:lang w:val="sr-Cyrl-CS"/>
        </w:rPr>
        <w:t>г</w:t>
      </w:r>
      <w:r w:rsidR="00300B8C" w:rsidRPr="00EF1215">
        <w:rPr>
          <w:rFonts w:ascii="Arial Narrow" w:hAnsi="Arial Narrow" w:cs="Tahoma"/>
          <w:sz w:val="22"/>
          <w:lang w:val="sr-Latn-CS"/>
        </w:rPr>
        <w:t>одини</w:t>
      </w:r>
      <w:r w:rsidR="007E1334" w:rsidRPr="00EF1215">
        <w:rPr>
          <w:rFonts w:ascii="Arial Narrow" w:hAnsi="Arial Narrow" w:cs="Tahoma"/>
          <w:sz w:val="22"/>
          <w:lang w:val="sr-Cyrl-BA"/>
        </w:rPr>
        <w:t xml:space="preserve"> и</w:t>
      </w:r>
      <w:r w:rsidR="00300B8C" w:rsidRPr="00EF1215">
        <w:rPr>
          <w:rFonts w:ascii="Arial Narrow" w:hAnsi="Arial Narrow" w:cs="Tahoma"/>
          <w:sz w:val="22"/>
          <w:lang w:val="sr-Cyrl-CS"/>
        </w:rPr>
        <w:t xml:space="preserve"> </w:t>
      </w:r>
      <w:r w:rsidR="007E1334" w:rsidRPr="00EF1215">
        <w:rPr>
          <w:rFonts w:ascii="Arial Narrow" w:hAnsi="Arial Narrow" w:cs="Tahoma"/>
          <w:sz w:val="22"/>
          <w:lang w:val="sr-Latn-CS"/>
        </w:rPr>
        <w:t>у односу на исти мјесец прошле године</w:t>
      </w:r>
      <w:r w:rsidR="007E1334" w:rsidRPr="00EF1215">
        <w:rPr>
          <w:rFonts w:ascii="Arial Narrow" w:hAnsi="Arial Narrow" w:cs="Tahoma"/>
          <w:sz w:val="22"/>
          <w:lang w:val="sr-Cyrl-CS"/>
        </w:rPr>
        <w:t xml:space="preserve"> </w:t>
      </w:r>
      <w:r w:rsidR="00300B8C" w:rsidRPr="00EF1215">
        <w:rPr>
          <w:rFonts w:ascii="Arial Narrow" w:hAnsi="Arial Narrow" w:cs="Tahoma"/>
          <w:sz w:val="22"/>
          <w:lang w:val="sr-Cyrl-CS"/>
        </w:rPr>
        <w:t>већи</w:t>
      </w:r>
      <w:r w:rsidRPr="00EF1215">
        <w:rPr>
          <w:rFonts w:ascii="Arial Narrow" w:hAnsi="Arial Narrow" w:cs="Tahoma"/>
          <w:sz w:val="22"/>
          <w:lang w:val="sr-Latn-CS"/>
        </w:rPr>
        <w:t xml:space="preserve"> је за </w:t>
      </w:r>
      <w:r w:rsidR="00786934" w:rsidRPr="00EF1215">
        <w:rPr>
          <w:rFonts w:ascii="Arial Narrow" w:hAnsi="Arial Narrow" w:cs="Tahoma"/>
          <w:sz w:val="22"/>
          <w:lang w:val="sr-Cyrl-CS"/>
        </w:rPr>
        <w:t>3</w:t>
      </w:r>
      <w:r w:rsidRPr="00EF1215">
        <w:rPr>
          <w:rFonts w:ascii="Arial Narrow" w:hAnsi="Arial Narrow" w:cs="Tahoma"/>
          <w:sz w:val="22"/>
          <w:lang w:val="sr-Latn-CS"/>
        </w:rPr>
        <w:t>,</w:t>
      </w:r>
      <w:r w:rsidR="0013614B" w:rsidRPr="00EF1215">
        <w:rPr>
          <w:rFonts w:ascii="Arial Narrow" w:hAnsi="Arial Narrow" w:cs="Tahoma"/>
          <w:sz w:val="22"/>
          <w:lang w:val="sr-Cyrl-CS"/>
        </w:rPr>
        <w:t>3</w:t>
      </w:r>
      <w:r w:rsidRPr="00EF1215">
        <w:rPr>
          <w:rFonts w:ascii="Arial Narrow" w:hAnsi="Arial Narrow" w:cs="Tahoma"/>
          <w:sz w:val="22"/>
          <w:lang w:val="sr-Latn-CS"/>
        </w:rPr>
        <w:t>%</w:t>
      </w:r>
      <w:r w:rsidR="007E1334" w:rsidRPr="00EF1215">
        <w:rPr>
          <w:rFonts w:ascii="Arial Narrow" w:hAnsi="Arial Narrow" w:cs="Tahoma"/>
          <w:sz w:val="22"/>
          <w:lang w:val="sr-Cyrl-BA"/>
        </w:rPr>
        <w:t xml:space="preserve">, док је </w:t>
      </w:r>
      <w:r w:rsidRPr="00EF1215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7E1334" w:rsidRPr="00EF1215">
        <w:rPr>
          <w:rFonts w:ascii="Arial Narrow" w:hAnsi="Arial Narrow" w:cs="Tahoma"/>
          <w:sz w:val="22"/>
          <w:lang w:val="sr-Cyrl-CS"/>
        </w:rPr>
        <w:t>новембар</w:t>
      </w:r>
      <w:r w:rsidR="001B25E0" w:rsidRPr="00EF1215">
        <w:rPr>
          <w:rFonts w:ascii="Arial Narrow" w:hAnsi="Arial Narrow" w:cs="Tahoma"/>
          <w:sz w:val="22"/>
          <w:lang w:val="sr-Cyrl-CS"/>
        </w:rPr>
        <w:t xml:space="preserve"> 2016.</w:t>
      </w:r>
      <w:r w:rsidR="001B25E0" w:rsidRPr="00EF1215">
        <w:rPr>
          <w:rFonts w:ascii="Arial Narrow" w:hAnsi="Arial Narrow" w:cs="Tahoma"/>
          <w:sz w:val="22"/>
          <w:lang w:val="ru-RU"/>
        </w:rPr>
        <w:t xml:space="preserve"> </w:t>
      </w:r>
      <w:r w:rsidR="00CD30B7" w:rsidRPr="00EF1215">
        <w:rPr>
          <w:rFonts w:ascii="Arial Narrow" w:hAnsi="Arial Narrow" w:cs="Tahoma"/>
          <w:sz w:val="22"/>
          <w:lang w:val="ru-RU"/>
        </w:rPr>
        <w:t>г</w:t>
      </w:r>
      <w:r w:rsidR="001B25E0" w:rsidRPr="00EF1215">
        <w:rPr>
          <w:rFonts w:ascii="Arial Narrow" w:hAnsi="Arial Narrow" w:cs="Tahoma"/>
          <w:sz w:val="22"/>
          <w:lang w:val="ru-RU"/>
        </w:rPr>
        <w:t>одине</w:t>
      </w:r>
      <w:r w:rsidR="00FA6E91" w:rsidRPr="00EF1215">
        <w:rPr>
          <w:rFonts w:ascii="Arial Narrow" w:hAnsi="Arial Narrow" w:cs="Tahoma"/>
          <w:sz w:val="22"/>
          <w:lang w:val="ru-RU"/>
        </w:rPr>
        <w:t xml:space="preserve"> </w:t>
      </w:r>
      <w:r w:rsidR="007E1334" w:rsidRPr="00EF1215">
        <w:rPr>
          <w:rFonts w:ascii="Arial Narrow" w:hAnsi="Arial Narrow" w:cs="Tahoma"/>
          <w:sz w:val="22"/>
          <w:lang w:val="ru-RU"/>
        </w:rPr>
        <w:t>остао непромијењен.</w:t>
      </w:r>
      <w:r w:rsidRPr="00EF1215">
        <w:rPr>
          <w:rFonts w:ascii="Arial Narrow" w:hAnsi="Arial Narrow" w:cs="Tahoma"/>
          <w:sz w:val="22"/>
          <w:lang w:val="sr-Latn-CS"/>
        </w:rPr>
        <w:t xml:space="preserve"> </w:t>
      </w:r>
      <w:r w:rsidRPr="00EF1215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EF1215">
        <w:rPr>
          <w:rFonts w:ascii="Arial Narrow" w:hAnsi="Arial Narrow" w:cs="Tahoma"/>
          <w:sz w:val="22"/>
          <w:lang w:val="sr-Cyrl-CS"/>
        </w:rPr>
        <w:t xml:space="preserve">у </w:t>
      </w:r>
      <w:r w:rsidRPr="00EF1215">
        <w:rPr>
          <w:rFonts w:ascii="Arial Narrow" w:hAnsi="Arial Narrow" w:cs="Tahoma"/>
          <w:sz w:val="22"/>
          <w:lang w:val="ru-RU"/>
        </w:rPr>
        <w:t xml:space="preserve">периоду јануар </w:t>
      </w:r>
      <w:r w:rsidR="00BE098B" w:rsidRPr="00EF1215">
        <w:rPr>
          <w:rFonts w:ascii="Arial Narrow" w:hAnsi="Arial Narrow" w:cs="Tahoma"/>
          <w:sz w:val="22"/>
          <w:lang w:val="ru-RU"/>
        </w:rPr>
        <w:t>–</w:t>
      </w:r>
      <w:r w:rsidRPr="00EF1215">
        <w:rPr>
          <w:rFonts w:ascii="Arial Narrow" w:hAnsi="Arial Narrow" w:cs="Tahoma"/>
          <w:sz w:val="22"/>
          <w:lang w:val="ru-RU"/>
        </w:rPr>
        <w:t xml:space="preserve"> </w:t>
      </w:r>
      <w:r w:rsidR="007E1334" w:rsidRPr="00EF1215">
        <w:rPr>
          <w:rFonts w:ascii="Arial Narrow" w:hAnsi="Arial Narrow" w:cs="Tahoma"/>
          <w:spacing w:val="-2"/>
          <w:sz w:val="22"/>
          <w:lang w:val="sr-Cyrl-CS"/>
        </w:rPr>
        <w:t>децембар</w:t>
      </w:r>
      <w:r w:rsidR="00BE098B" w:rsidRPr="00EF1215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>201</w:t>
      </w:r>
      <w:r w:rsidR="00BE098B" w:rsidRPr="00EF1215">
        <w:rPr>
          <w:rFonts w:ascii="Arial Narrow" w:hAnsi="Arial Narrow" w:cs="Tahoma"/>
          <w:sz w:val="22"/>
          <w:lang w:val="sr-Cyrl-CS"/>
        </w:rPr>
        <w:t>6</w:t>
      </w:r>
      <w:r w:rsidRPr="00EF1215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EF1215">
        <w:rPr>
          <w:rFonts w:ascii="Arial Narrow" w:hAnsi="Arial Narrow" w:cs="Tahoma"/>
          <w:sz w:val="22"/>
          <w:szCs w:val="22"/>
          <w:lang w:val="ru-RU"/>
        </w:rPr>
        <w:t xml:space="preserve"> већи је за </w:t>
      </w:r>
      <w:r w:rsidR="003108F1" w:rsidRPr="00EF1215">
        <w:rPr>
          <w:rFonts w:ascii="Arial Narrow" w:hAnsi="Arial Narrow" w:cs="Tahoma"/>
          <w:sz w:val="22"/>
          <w:szCs w:val="22"/>
          <w:lang w:val="ru-RU"/>
        </w:rPr>
        <w:t>1</w:t>
      </w:r>
      <w:r w:rsidRPr="00EF1215">
        <w:rPr>
          <w:rFonts w:ascii="Arial Narrow" w:hAnsi="Arial Narrow" w:cs="Tahoma"/>
          <w:sz w:val="22"/>
          <w:szCs w:val="22"/>
          <w:lang w:val="ru-RU"/>
        </w:rPr>
        <w:t>,</w:t>
      </w:r>
      <w:r w:rsidR="007E1334" w:rsidRPr="00EF1215">
        <w:rPr>
          <w:rFonts w:ascii="Arial Narrow" w:hAnsi="Arial Narrow" w:cs="Tahoma"/>
          <w:sz w:val="22"/>
          <w:szCs w:val="22"/>
          <w:lang w:val="ru-RU"/>
        </w:rPr>
        <w:t>3</w:t>
      </w:r>
      <w:r w:rsidRPr="00EF1215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EF1215">
        <w:rPr>
          <w:rFonts w:ascii="Arial Narrow" w:hAnsi="Arial Narrow" w:cs="Tahoma"/>
          <w:sz w:val="22"/>
          <w:lang w:val="sr-Cyrl-CS"/>
        </w:rPr>
        <w:t>у</w:t>
      </w:r>
      <w:r w:rsidRPr="00EF1215">
        <w:rPr>
          <w:rFonts w:ascii="Tahoma" w:hAnsi="Tahoma" w:cs="Tahoma"/>
          <w:sz w:val="22"/>
          <w:lang w:val="sr-Cyrl-CS"/>
        </w:rPr>
        <w:t xml:space="preserve"> </w:t>
      </w:r>
      <w:r w:rsidR="00BE098B" w:rsidRPr="00EF1215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EF1215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BE098B" w:rsidRPr="00EF1215">
        <w:rPr>
          <w:rFonts w:ascii="Arial Narrow" w:hAnsi="Arial Narrow" w:cs="Tahoma"/>
          <w:sz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BE098B" w:rsidRPr="00EF1215">
        <w:rPr>
          <w:rFonts w:ascii="Arial Narrow" w:hAnsi="Arial Narrow" w:cs="Tahoma"/>
          <w:sz w:val="22"/>
          <w:lang w:val="sr-Cyrl-CS"/>
        </w:rPr>
        <w:t>1</w:t>
      </w:r>
      <w:r w:rsidRPr="00EF1215">
        <w:rPr>
          <w:rFonts w:ascii="Arial Narrow" w:hAnsi="Arial Narrow" w:cs="Tahoma"/>
          <w:sz w:val="22"/>
          <w:lang w:val="ru-RU"/>
        </w:rPr>
        <w:t>,</w:t>
      </w:r>
      <w:r w:rsidR="007E1334" w:rsidRPr="00EF1215">
        <w:rPr>
          <w:rFonts w:ascii="Arial Narrow" w:hAnsi="Arial Narrow" w:cs="Tahoma"/>
          <w:sz w:val="22"/>
          <w:lang w:val="ru-RU"/>
        </w:rPr>
        <w:t>4</w:t>
      </w:r>
      <w:r w:rsidR="00BE098B" w:rsidRPr="00EF1215">
        <w:rPr>
          <w:rFonts w:ascii="Arial Narrow" w:hAnsi="Arial Narrow" w:cs="Tahoma"/>
          <w:sz w:val="22"/>
          <w:lang w:val="ru-RU"/>
        </w:rPr>
        <w:t>%</w:t>
      </w:r>
      <w:r w:rsidR="0013614B" w:rsidRPr="00EF1215">
        <w:rPr>
          <w:rFonts w:ascii="Arial Narrow" w:hAnsi="Arial Narrow" w:cs="Tahoma"/>
          <w:sz w:val="22"/>
          <w:lang w:val="ru-RU"/>
        </w:rPr>
        <w:t>,</w:t>
      </w:r>
      <w:r w:rsidR="001B25E0" w:rsidRPr="00EF1215">
        <w:rPr>
          <w:rFonts w:ascii="Arial Narrow" w:hAnsi="Arial Narrow" w:cs="Tahoma"/>
          <w:sz w:val="22"/>
          <w:lang w:val="ru-RU"/>
        </w:rPr>
        <w:t xml:space="preserve"> у </w:t>
      </w:r>
      <w:r w:rsidR="001B25E0" w:rsidRPr="00EF1215">
        <w:rPr>
          <w:rFonts w:ascii="Arial Narrow" w:hAnsi="Arial Narrow" w:cs="Tahoma"/>
          <w:sz w:val="22"/>
          <w:lang w:val="sr-Cyrl-CS"/>
        </w:rPr>
        <w:t xml:space="preserve">подручју </w:t>
      </w:r>
      <w:r w:rsidR="001B25E0" w:rsidRPr="00EF1215">
        <w:rPr>
          <w:rFonts w:ascii="Arial Narrow" w:hAnsi="Arial Narrow" w:cs="Tahoma"/>
          <w:i/>
          <w:sz w:val="22"/>
          <w:lang w:val="sr-Cyrl-CS"/>
        </w:rPr>
        <w:t>Вађења руда и камена</w:t>
      </w:r>
      <w:r w:rsidR="001B25E0" w:rsidRPr="00EF1215">
        <w:rPr>
          <w:rFonts w:ascii="Arial Narrow" w:hAnsi="Arial Narrow" w:cs="Tahoma"/>
          <w:i/>
          <w:sz w:val="22"/>
          <w:lang w:val="ru-RU"/>
        </w:rPr>
        <w:t xml:space="preserve"> </w:t>
      </w:r>
      <w:r w:rsidR="001B25E0" w:rsidRPr="00EF1215">
        <w:rPr>
          <w:rFonts w:ascii="Arial Narrow" w:hAnsi="Arial Narrow" w:cs="Tahoma"/>
          <w:sz w:val="22"/>
          <w:lang w:val="ru-RU"/>
        </w:rPr>
        <w:t xml:space="preserve">раст од </w:t>
      </w:r>
      <w:r w:rsidR="007E1334" w:rsidRPr="00EF1215">
        <w:rPr>
          <w:rFonts w:ascii="Arial Narrow" w:hAnsi="Arial Narrow" w:cs="Tahoma"/>
          <w:sz w:val="22"/>
          <w:lang w:val="ru-RU"/>
        </w:rPr>
        <w:t>1</w:t>
      </w:r>
      <w:r w:rsidR="001B25E0" w:rsidRPr="00EF1215">
        <w:rPr>
          <w:rFonts w:ascii="Arial Narrow" w:hAnsi="Arial Narrow" w:cs="Tahoma"/>
          <w:sz w:val="22"/>
          <w:lang w:val="ru-RU"/>
        </w:rPr>
        <w:t>,</w:t>
      </w:r>
      <w:r w:rsidR="007E1334" w:rsidRPr="00EF1215">
        <w:rPr>
          <w:rFonts w:ascii="Arial Narrow" w:hAnsi="Arial Narrow" w:cs="Tahoma"/>
          <w:sz w:val="22"/>
          <w:lang w:val="ru-RU"/>
        </w:rPr>
        <w:t>1</w:t>
      </w:r>
      <w:r w:rsidR="001B25E0" w:rsidRPr="00EF1215">
        <w:rPr>
          <w:rFonts w:ascii="Arial Narrow" w:hAnsi="Arial Narrow" w:cs="Tahoma"/>
          <w:sz w:val="22"/>
          <w:lang w:val="ru-RU"/>
        </w:rPr>
        <w:t>%</w:t>
      </w:r>
      <w:r w:rsidR="0013614B" w:rsidRPr="00EF1215">
        <w:rPr>
          <w:rFonts w:ascii="Arial Narrow" w:hAnsi="Arial Narrow" w:cs="Tahoma"/>
          <w:sz w:val="22"/>
          <w:lang w:val="ru-RU"/>
        </w:rPr>
        <w:t xml:space="preserve"> и </w:t>
      </w:r>
      <w:r w:rsidRPr="00EF1215">
        <w:rPr>
          <w:rFonts w:ascii="Arial Narrow" w:hAnsi="Arial Narrow" w:cs="Tahoma"/>
          <w:sz w:val="22"/>
          <w:lang w:val="ru-RU"/>
        </w:rPr>
        <w:t xml:space="preserve">у </w:t>
      </w:r>
      <w:r w:rsidR="00BE098B" w:rsidRPr="00EF1215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EF1215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BE098B" w:rsidRPr="00EF1215">
        <w:rPr>
          <w:rFonts w:ascii="Arial Narrow" w:hAnsi="Arial Narrow" w:cs="Tahoma"/>
          <w:sz w:val="22"/>
          <w:lang w:val="ru-RU"/>
        </w:rPr>
        <w:t xml:space="preserve"> </w:t>
      </w:r>
      <w:r w:rsidR="0013614B" w:rsidRPr="00EF1215">
        <w:rPr>
          <w:rFonts w:ascii="Arial Narrow" w:hAnsi="Arial Narrow" w:cs="Tahoma"/>
          <w:sz w:val="22"/>
          <w:lang w:val="ru-RU"/>
        </w:rPr>
        <w:t>раст</w:t>
      </w:r>
      <w:r w:rsidRPr="00EF1215">
        <w:rPr>
          <w:rFonts w:ascii="Arial Narrow" w:hAnsi="Arial Narrow" w:cs="Tahoma"/>
          <w:sz w:val="22"/>
          <w:lang w:val="sr-Cyrl-CS"/>
        </w:rPr>
        <w:t xml:space="preserve"> </w:t>
      </w:r>
      <w:r w:rsidRPr="00EF1215">
        <w:rPr>
          <w:rFonts w:ascii="Arial Narrow" w:hAnsi="Arial Narrow" w:cs="Tahoma"/>
          <w:sz w:val="22"/>
          <w:lang w:val="ru-RU"/>
        </w:rPr>
        <w:t xml:space="preserve">од </w:t>
      </w:r>
      <w:r w:rsidR="000676EE" w:rsidRPr="00EF1215">
        <w:rPr>
          <w:rFonts w:ascii="Arial Narrow" w:hAnsi="Arial Narrow" w:cs="Tahoma"/>
          <w:sz w:val="22"/>
          <w:lang w:val="ru-RU"/>
        </w:rPr>
        <w:t>0</w:t>
      </w:r>
      <w:r w:rsidRPr="00EF1215">
        <w:rPr>
          <w:rFonts w:ascii="Arial Narrow" w:hAnsi="Arial Narrow" w:cs="Tahoma"/>
          <w:sz w:val="22"/>
          <w:lang w:val="ru-RU"/>
        </w:rPr>
        <w:t>,</w:t>
      </w:r>
      <w:r w:rsidR="007E1334" w:rsidRPr="00EF1215">
        <w:rPr>
          <w:rFonts w:ascii="Arial Narrow" w:hAnsi="Arial Narrow" w:cs="Tahoma"/>
          <w:sz w:val="22"/>
          <w:lang w:val="ru-RU"/>
        </w:rPr>
        <w:t>7</w:t>
      </w:r>
      <w:r w:rsidRPr="00EF1215">
        <w:rPr>
          <w:rFonts w:ascii="Arial Narrow" w:hAnsi="Arial Narrow" w:cs="Tahoma"/>
          <w:sz w:val="22"/>
          <w:lang w:val="ru-RU"/>
        </w:rPr>
        <w:t xml:space="preserve">%. </w:t>
      </w:r>
    </w:p>
    <w:p w:rsidR="007679D9" w:rsidRPr="00EF1215" w:rsidRDefault="007679D9" w:rsidP="00166F34">
      <w:pPr>
        <w:jc w:val="both"/>
        <w:rPr>
          <w:rFonts w:ascii="Arial Narrow" w:hAnsi="Arial Narrow" w:cs="Tahoma"/>
          <w:sz w:val="22"/>
          <w:lang w:val="sr-Latn-CS"/>
        </w:rPr>
      </w:pPr>
    </w:p>
    <w:p w:rsidR="000213F8" w:rsidRPr="00EF1215" w:rsidRDefault="007E1334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EF1215">
        <w:rPr>
          <w:noProof/>
        </w:rPr>
        <w:drawing>
          <wp:inline distT="0" distB="0" distL="0" distR="0" wp14:anchorId="63BB553A" wp14:editId="24C189CF">
            <wp:extent cx="6480810" cy="3053118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EF1215" w:rsidRDefault="00B85D9D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EF1215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7A0558" w:rsidRPr="00EF1215">
        <w:rPr>
          <w:rFonts w:ascii="Arial Narrow" w:hAnsi="Arial Narrow" w:cs="Tahoma"/>
          <w:sz w:val="16"/>
          <w:szCs w:val="16"/>
          <w:lang w:val="sr-Latn-CS"/>
        </w:rPr>
        <w:t>3</w:t>
      </w:r>
      <w:r w:rsidRPr="00EF1215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7E1334" w:rsidRPr="00EF1215">
        <w:rPr>
          <w:rFonts w:ascii="Arial Narrow" w:hAnsi="Arial Narrow" w:cs="Tahoma"/>
          <w:sz w:val="16"/>
          <w:szCs w:val="16"/>
          <w:lang w:val="sr-Cyrl-CS"/>
        </w:rPr>
        <w:t>децембар</w:t>
      </w:r>
      <w:r w:rsidR="00F06D21" w:rsidRPr="00EF1215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Pr="00EF1215">
        <w:rPr>
          <w:rFonts w:ascii="Arial Narrow" w:hAnsi="Arial Narrow" w:cs="Tahoma"/>
          <w:sz w:val="16"/>
          <w:szCs w:val="16"/>
          <w:lang w:val="sr-Latn-CS"/>
        </w:rPr>
        <w:t>20</w:t>
      </w:r>
      <w:r w:rsidRPr="00EF1215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EF1215">
        <w:rPr>
          <w:rFonts w:ascii="Arial Narrow" w:hAnsi="Arial Narrow" w:cs="Tahoma"/>
          <w:sz w:val="16"/>
          <w:szCs w:val="16"/>
          <w:lang w:val="sr-Cyrl-CS"/>
        </w:rPr>
        <w:t>2</w:t>
      </w:r>
      <w:r w:rsidRPr="00EF1215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7E1334" w:rsidRPr="00EF1215">
        <w:rPr>
          <w:rFonts w:ascii="Arial Narrow" w:hAnsi="Arial Narrow" w:cs="Tahoma"/>
          <w:sz w:val="16"/>
          <w:szCs w:val="16"/>
          <w:lang w:val="sr-Cyrl-BA"/>
        </w:rPr>
        <w:t>децембар</w:t>
      </w:r>
      <w:r w:rsidRPr="00EF1215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EF1215">
        <w:rPr>
          <w:rFonts w:ascii="Arial Narrow" w:hAnsi="Arial Narrow" w:cs="Tahoma"/>
          <w:sz w:val="16"/>
          <w:szCs w:val="16"/>
          <w:lang w:val="sr-Cyrl-CS"/>
        </w:rPr>
        <w:t>6</w:t>
      </w:r>
      <w:r w:rsidRPr="00EF1215">
        <w:rPr>
          <w:rFonts w:ascii="Arial Narrow" w:hAnsi="Arial Narrow" w:cs="Tahoma"/>
          <w:sz w:val="16"/>
          <w:szCs w:val="16"/>
          <w:lang w:val="sr-Latn-CS"/>
        </w:rPr>
        <w:t>. (</w:t>
      </w:r>
      <w:r w:rsidRPr="00EF1215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EF1215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7679D9" w:rsidRPr="00EF1215" w:rsidRDefault="007679D9" w:rsidP="00B85D9D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</w:p>
    <w:p w:rsidR="000213F8" w:rsidRPr="00EF1215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6E4C93" w:rsidRPr="00EF1215" w:rsidRDefault="006E4C93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EF1215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EF1215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EF1215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EF1215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EF1215">
        <w:rPr>
          <w:rFonts w:ascii="Arial Narrow" w:hAnsi="Arial Narrow" w:cs="Tahoma"/>
          <w:b/>
          <w:sz w:val="30"/>
          <w:szCs w:val="30"/>
          <w:lang w:val="sr-Cyrl-BA"/>
        </w:rPr>
        <w:t xml:space="preserve">у периоду </w:t>
      </w:r>
      <w:r w:rsidRPr="00EF1215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31402B" w:rsidRPr="00EF1215">
        <w:rPr>
          <w:rFonts w:ascii="Arial Narrow" w:hAnsi="Arial Narrow" w:cs="Tahoma"/>
          <w:b/>
          <w:sz w:val="30"/>
          <w:szCs w:val="30"/>
          <w:lang w:val="sr-Latn-BA"/>
        </w:rPr>
        <w:t>-</w:t>
      </w:r>
      <w:r w:rsidR="001D519A" w:rsidRPr="00EF1215">
        <w:rPr>
          <w:rFonts w:ascii="Arial Narrow" w:hAnsi="Arial Narrow" w:cs="Tahoma"/>
          <w:b/>
          <w:sz w:val="30"/>
          <w:szCs w:val="30"/>
          <w:lang w:val="sr-Latn-CS"/>
        </w:rPr>
        <w:t>X</w:t>
      </w:r>
      <w:r w:rsidR="004C7F77" w:rsidRPr="00EF1215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7814A6" w:rsidRPr="00EF1215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EF1215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EF1215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EF1215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Pr="00EF1215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EF1215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EF1215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EF1215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="001D519A" w:rsidRPr="00EF1215">
        <w:rPr>
          <w:rFonts w:ascii="Arial Narrow" w:hAnsi="Arial Narrow" w:cs="Tahoma"/>
          <w:b/>
          <w:sz w:val="30"/>
          <w:szCs w:val="30"/>
          <w:lang w:val="sr-Latn-BA"/>
        </w:rPr>
        <w:t>5</w:t>
      </w:r>
      <w:r w:rsidR="003A0849" w:rsidRPr="00EF1215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4C7F77" w:rsidRPr="00EF1215">
        <w:rPr>
          <w:rFonts w:ascii="Arial Narrow" w:hAnsi="Arial Narrow" w:cs="Tahoma"/>
          <w:b/>
          <w:sz w:val="30"/>
          <w:szCs w:val="30"/>
          <w:lang w:val="hr-HR"/>
        </w:rPr>
        <w:t>0</w:t>
      </w:r>
      <w:r w:rsidRPr="00EF1215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EF1215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3A0849" w:rsidRPr="00EF1215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EF1215">
        <w:rPr>
          <w:rFonts w:ascii="Arial Narrow" w:hAnsi="Arial Narrow" w:cs="Tahoma"/>
          <w:sz w:val="22"/>
          <w:lang w:val="sr-Cyrl-BA"/>
        </w:rPr>
        <w:t xml:space="preserve">У </w:t>
      </w:r>
      <w:r w:rsidR="004C7F77" w:rsidRPr="00EF1215">
        <w:rPr>
          <w:rFonts w:ascii="Arial Narrow" w:hAnsi="Arial Narrow" w:cs="Tahoma"/>
          <w:sz w:val="22"/>
          <w:lang w:val="sr-Cyrl-BA"/>
        </w:rPr>
        <w:t>децембру</w:t>
      </w:r>
      <w:r w:rsidRPr="00EF1215">
        <w:rPr>
          <w:rFonts w:ascii="Arial Narrow" w:hAnsi="Arial Narrow" w:cs="Tahoma"/>
          <w:sz w:val="22"/>
          <w:lang w:val="sr-Cyrl-BA"/>
        </w:rPr>
        <w:t xml:space="preserve"> 2016. године остварен је извоз у вриједности од </w:t>
      </w:r>
      <w:r w:rsidR="007814A6" w:rsidRPr="00EF1215">
        <w:rPr>
          <w:rFonts w:ascii="Arial Narrow" w:hAnsi="Arial Narrow" w:cs="Tahoma"/>
          <w:sz w:val="22"/>
          <w:lang w:val="sr-Cyrl-BA"/>
        </w:rPr>
        <w:t>26</w:t>
      </w:r>
      <w:r w:rsidR="004C7F77" w:rsidRPr="00EF1215">
        <w:rPr>
          <w:rFonts w:ascii="Arial Narrow" w:hAnsi="Arial Narrow" w:cs="Tahoma"/>
          <w:sz w:val="22"/>
          <w:lang w:val="sr-Cyrl-BA"/>
        </w:rPr>
        <w:t>0</w:t>
      </w:r>
      <w:r w:rsidRPr="00EF1215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</w:t>
      </w:r>
      <w:r w:rsidR="007814A6" w:rsidRPr="00EF1215">
        <w:rPr>
          <w:rFonts w:ascii="Arial Narrow" w:hAnsi="Arial Narrow" w:cs="Tahoma"/>
          <w:sz w:val="22"/>
          <w:lang w:val="sr-Cyrl-BA"/>
        </w:rPr>
        <w:t>4</w:t>
      </w:r>
      <w:r w:rsidR="004C7F77" w:rsidRPr="00EF1215">
        <w:rPr>
          <w:rFonts w:ascii="Arial Narrow" w:hAnsi="Arial Narrow" w:cs="Tahoma"/>
          <w:sz w:val="22"/>
          <w:lang w:val="sr-Cyrl-BA"/>
        </w:rPr>
        <w:t>49</w:t>
      </w:r>
      <w:r w:rsidRPr="00EF1215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3A0849" w:rsidRPr="00EF1215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EF1215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EF1215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EF1215">
        <w:rPr>
          <w:rFonts w:ascii="Arial Narrow" w:hAnsi="Arial Narrow" w:cs="Tahoma"/>
          <w:sz w:val="22"/>
          <w:lang w:val="bs-Cyrl-BA"/>
        </w:rPr>
        <w:t>е</w:t>
      </w:r>
      <w:r w:rsidRPr="00EF1215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EF1215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EF1215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4C7F77" w:rsidRPr="00EF1215">
        <w:rPr>
          <w:rFonts w:ascii="Arial Narrow" w:hAnsi="Arial Narrow" w:cs="Tahoma"/>
          <w:sz w:val="22"/>
          <w:lang w:val="sr-Cyrl-BA"/>
        </w:rPr>
        <w:t xml:space="preserve">децембру </w:t>
      </w:r>
      <w:r w:rsidRPr="00EF1215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4C7F77" w:rsidRPr="00EF1215">
        <w:rPr>
          <w:rFonts w:ascii="Arial Narrow" w:hAnsi="Arial Narrow" w:cs="Tahoma"/>
          <w:sz w:val="22"/>
          <w:lang w:val="sr-Cyrl-BA"/>
        </w:rPr>
        <w:t>58</w:t>
      </w:r>
      <w:r w:rsidR="00101E3A" w:rsidRPr="00EF1215">
        <w:rPr>
          <w:rFonts w:ascii="Arial Narrow" w:hAnsi="Arial Narrow" w:cs="Tahoma"/>
          <w:sz w:val="22"/>
          <w:lang w:val="sr-Cyrl-BA"/>
        </w:rPr>
        <w:t>,</w:t>
      </w:r>
      <w:r w:rsidR="004C7F77" w:rsidRPr="00EF1215">
        <w:rPr>
          <w:rFonts w:ascii="Arial Narrow" w:hAnsi="Arial Narrow" w:cs="Tahoma"/>
          <w:sz w:val="22"/>
          <w:lang w:val="sr-Cyrl-BA"/>
        </w:rPr>
        <w:t>0</w:t>
      </w:r>
      <w:r w:rsidRPr="00EF1215">
        <w:rPr>
          <w:rFonts w:ascii="Arial Narrow" w:hAnsi="Arial Narrow" w:cs="Tahoma"/>
          <w:sz w:val="22"/>
          <w:lang w:val="sr-Cyrl-BA"/>
        </w:rPr>
        <w:t xml:space="preserve">%. </w:t>
      </w:r>
      <w:r w:rsidR="003A0849" w:rsidRPr="00EF1215">
        <w:rPr>
          <w:rFonts w:ascii="Arial Narrow" w:hAnsi="Arial Narrow" w:cs="Tahoma"/>
          <w:sz w:val="22"/>
          <w:szCs w:val="22"/>
          <w:lang w:val="ru-RU"/>
        </w:rPr>
        <w:t>Проценат по</w:t>
      </w:r>
      <w:r w:rsidR="0031402B" w:rsidRPr="00EF1215">
        <w:rPr>
          <w:rFonts w:ascii="Arial Narrow" w:hAnsi="Arial Narrow" w:cs="Tahoma"/>
          <w:sz w:val="22"/>
          <w:szCs w:val="22"/>
          <w:lang w:val="ru-RU"/>
        </w:rPr>
        <w:t>кривености увоза извозом за</w:t>
      </w:r>
      <w:r w:rsidR="004C7F77" w:rsidRPr="00EF1215">
        <w:rPr>
          <w:rFonts w:ascii="Arial Narrow" w:hAnsi="Arial Narrow" w:cs="Tahoma"/>
          <w:sz w:val="22"/>
          <w:szCs w:val="22"/>
          <w:lang w:val="ru-RU"/>
        </w:rPr>
        <w:t xml:space="preserve"> период јануар - децембар</w:t>
      </w:r>
      <w:r w:rsidR="0031402B" w:rsidRPr="00EF1215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C7F77" w:rsidRPr="00EF1215">
        <w:rPr>
          <w:rFonts w:ascii="Arial Narrow" w:hAnsi="Arial Narrow" w:cs="Tahoma"/>
          <w:sz w:val="22"/>
          <w:szCs w:val="22"/>
          <w:lang w:val="ru-RU"/>
        </w:rPr>
        <w:t>2016. годин</w:t>
      </w:r>
      <w:r w:rsidR="00411786" w:rsidRPr="00EF1215">
        <w:rPr>
          <w:rFonts w:ascii="Arial Narrow" w:hAnsi="Arial Narrow" w:cs="Tahoma"/>
          <w:sz w:val="22"/>
          <w:szCs w:val="22"/>
          <w:lang w:val="ru-RU"/>
        </w:rPr>
        <w:t>е</w:t>
      </w:r>
      <w:r w:rsidR="00482652" w:rsidRPr="00EF1215">
        <w:rPr>
          <w:rFonts w:ascii="Arial Narrow" w:hAnsi="Arial Narrow" w:cs="Tahoma"/>
          <w:sz w:val="22"/>
          <w:szCs w:val="22"/>
          <w:lang w:val="ru-RU"/>
        </w:rPr>
        <w:t xml:space="preserve"> износио је 6</w:t>
      </w:r>
      <w:r w:rsidR="00401613" w:rsidRPr="00EF1215">
        <w:rPr>
          <w:rFonts w:ascii="Arial Narrow" w:hAnsi="Arial Narrow" w:cs="Tahoma"/>
          <w:sz w:val="22"/>
          <w:szCs w:val="22"/>
          <w:lang w:val="ru-RU"/>
        </w:rPr>
        <w:t>5</w:t>
      </w:r>
      <w:r w:rsidR="003A0849" w:rsidRPr="00EF1215">
        <w:rPr>
          <w:rFonts w:ascii="Arial Narrow" w:hAnsi="Arial Narrow" w:cs="Tahoma"/>
          <w:sz w:val="22"/>
          <w:szCs w:val="22"/>
          <w:lang w:val="ru-RU"/>
        </w:rPr>
        <w:t>,</w:t>
      </w:r>
      <w:r w:rsidR="004C7F77" w:rsidRPr="00EF1215">
        <w:rPr>
          <w:rFonts w:ascii="Arial Narrow" w:hAnsi="Arial Narrow" w:cs="Tahoma"/>
          <w:sz w:val="22"/>
          <w:szCs w:val="22"/>
          <w:lang w:val="ru-RU"/>
        </w:rPr>
        <w:t>0</w:t>
      </w:r>
      <w:r w:rsidR="003A0849" w:rsidRPr="00EF1215">
        <w:rPr>
          <w:rFonts w:ascii="Arial Narrow" w:hAnsi="Arial Narrow" w:cs="Tahoma"/>
          <w:sz w:val="22"/>
          <w:szCs w:val="22"/>
          <w:lang w:val="ru-RU"/>
        </w:rPr>
        <w:t>%.</w:t>
      </w:r>
    </w:p>
    <w:p w:rsidR="00384927" w:rsidRPr="00EF1215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EF1215" w:rsidRDefault="00F442FA" w:rsidP="00F442FA">
      <w:pPr>
        <w:jc w:val="both"/>
        <w:rPr>
          <w:rFonts w:ascii="Tahoma" w:hAnsi="Tahoma" w:cs="Tahoma"/>
          <w:lang w:val="ru-RU"/>
        </w:rPr>
      </w:pPr>
      <w:r w:rsidRPr="00EF1215">
        <w:rPr>
          <w:rFonts w:ascii="Arial Narrow" w:hAnsi="Arial Narrow" w:cs="Tahoma"/>
          <w:sz w:val="22"/>
          <w:lang w:val="ru-RU"/>
        </w:rPr>
        <w:t xml:space="preserve">У </w:t>
      </w:r>
      <w:r w:rsidR="003A0849" w:rsidRPr="00EF1215">
        <w:rPr>
          <w:rFonts w:ascii="Arial Narrow" w:hAnsi="Arial Narrow" w:cs="Tahoma"/>
          <w:sz w:val="22"/>
          <w:lang w:val="ru-RU"/>
        </w:rPr>
        <w:t xml:space="preserve">периоду </w:t>
      </w:r>
      <w:r w:rsidRPr="00EF1215">
        <w:rPr>
          <w:rFonts w:ascii="Arial Narrow" w:hAnsi="Arial Narrow" w:cs="Tahoma"/>
          <w:sz w:val="22"/>
          <w:lang w:val="ru-RU"/>
        </w:rPr>
        <w:t>јануар</w:t>
      </w:r>
      <w:r w:rsidR="003A0849" w:rsidRPr="00EF1215">
        <w:rPr>
          <w:rFonts w:ascii="Arial Narrow" w:hAnsi="Arial Narrow" w:cs="Tahoma"/>
          <w:sz w:val="22"/>
          <w:lang w:val="ru-RU"/>
        </w:rPr>
        <w:t xml:space="preserve"> - </w:t>
      </w:r>
      <w:r w:rsidR="004C7F77" w:rsidRPr="00EF1215">
        <w:rPr>
          <w:rFonts w:ascii="Arial Narrow" w:hAnsi="Arial Narrow" w:cs="Tahoma"/>
          <w:sz w:val="22"/>
          <w:szCs w:val="22"/>
          <w:lang w:val="ru-RU"/>
        </w:rPr>
        <w:t xml:space="preserve">децембар </w:t>
      </w:r>
      <w:r w:rsidR="00384927" w:rsidRPr="00EF1215">
        <w:rPr>
          <w:rFonts w:ascii="Arial Narrow" w:hAnsi="Arial Narrow" w:cs="Tahoma"/>
          <w:sz w:val="22"/>
          <w:lang w:val="ru-RU"/>
        </w:rPr>
        <w:t>2016</w:t>
      </w:r>
      <w:r w:rsidRPr="00EF1215">
        <w:rPr>
          <w:rFonts w:ascii="Arial Narrow" w:hAnsi="Arial Narrow" w:cs="Tahoma"/>
          <w:sz w:val="22"/>
          <w:lang w:val="ru-RU"/>
        </w:rPr>
        <w:t>. остварен је извоз у вриједности од</w:t>
      </w:r>
      <w:r w:rsidR="001D519A" w:rsidRPr="00EF1215">
        <w:rPr>
          <w:rFonts w:ascii="Arial Narrow" w:hAnsi="Arial Narrow" w:cs="Tahoma"/>
          <w:sz w:val="22"/>
          <w:lang w:val="ru-RU"/>
        </w:rPr>
        <w:t xml:space="preserve"> 2</w:t>
      </w:r>
      <w:r w:rsidRPr="00EF1215">
        <w:rPr>
          <w:rFonts w:ascii="Arial Narrow" w:hAnsi="Arial Narrow" w:cs="Tahoma"/>
          <w:sz w:val="22"/>
          <w:lang w:val="ru-RU"/>
        </w:rPr>
        <w:t xml:space="preserve"> </w:t>
      </w:r>
      <w:r w:rsidR="001D519A" w:rsidRPr="00EF1215">
        <w:rPr>
          <w:rFonts w:ascii="Arial Narrow" w:hAnsi="Arial Narrow" w:cs="Tahoma"/>
          <w:sz w:val="22"/>
          <w:lang w:val="ru-RU"/>
        </w:rPr>
        <w:t>милијарде</w:t>
      </w:r>
      <w:r w:rsidR="00AF73B5" w:rsidRPr="00EF1215">
        <w:rPr>
          <w:rFonts w:ascii="Arial Narrow" w:hAnsi="Arial Narrow" w:cs="Tahoma"/>
          <w:sz w:val="22"/>
          <w:lang w:val="ru-RU"/>
        </w:rPr>
        <w:t xml:space="preserve"> </w:t>
      </w:r>
      <w:r w:rsidR="004C7F77" w:rsidRPr="00EF1215">
        <w:rPr>
          <w:rFonts w:ascii="Arial Narrow" w:hAnsi="Arial Narrow" w:cs="Tahoma"/>
          <w:sz w:val="22"/>
          <w:lang w:val="ru-RU"/>
        </w:rPr>
        <w:t>865</w:t>
      </w:r>
      <w:r w:rsidR="00AF73B5" w:rsidRPr="00EF1215">
        <w:rPr>
          <w:rFonts w:ascii="Arial Narrow" w:hAnsi="Arial Narrow" w:cs="Tahoma"/>
          <w:sz w:val="22"/>
          <w:lang w:val="ru-RU"/>
        </w:rPr>
        <w:t xml:space="preserve"> </w:t>
      </w:r>
      <w:r w:rsidRPr="00EF1215">
        <w:rPr>
          <w:rFonts w:ascii="Arial Narrow" w:hAnsi="Arial Narrow" w:cs="Tahoma"/>
          <w:sz w:val="22"/>
          <w:lang w:val="ru-RU"/>
        </w:rPr>
        <w:t>милион</w:t>
      </w:r>
      <w:r w:rsidR="007E3425" w:rsidRPr="00EF1215">
        <w:rPr>
          <w:rFonts w:ascii="Arial Narrow" w:hAnsi="Arial Narrow" w:cs="Tahoma"/>
          <w:sz w:val="22"/>
          <w:lang w:val="ru-RU"/>
        </w:rPr>
        <w:t>а</w:t>
      </w:r>
      <w:r w:rsidR="008F10AE" w:rsidRPr="00EF1215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7814A6" w:rsidRPr="00EF1215">
        <w:rPr>
          <w:rFonts w:ascii="Arial Narrow" w:hAnsi="Arial Narrow" w:cs="Tahoma"/>
          <w:sz w:val="22"/>
          <w:lang w:val="ru-RU"/>
        </w:rPr>
        <w:t>9</w:t>
      </w:r>
      <w:r w:rsidR="008F10AE" w:rsidRPr="00EF1215">
        <w:rPr>
          <w:rFonts w:ascii="Arial Narrow" w:hAnsi="Arial Narrow" w:cs="Tahoma"/>
          <w:sz w:val="22"/>
          <w:lang w:val="ru-RU"/>
        </w:rPr>
        <w:t>,</w:t>
      </w:r>
      <w:r w:rsidR="004C7F77" w:rsidRPr="00EF1215">
        <w:rPr>
          <w:rFonts w:ascii="Arial Narrow" w:hAnsi="Arial Narrow" w:cs="Tahoma"/>
          <w:sz w:val="22"/>
          <w:lang w:val="ru-RU"/>
        </w:rPr>
        <w:t>6</w:t>
      </w:r>
      <w:r w:rsidRPr="00EF1215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EF1215">
        <w:rPr>
          <w:rFonts w:ascii="Arial Narrow" w:hAnsi="Arial Narrow" w:cs="Tahoma"/>
          <w:sz w:val="22"/>
          <w:lang w:val="ru-RU"/>
        </w:rPr>
        <w:t>више</w:t>
      </w:r>
      <w:r w:rsidRPr="00EF1215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EF1215">
        <w:rPr>
          <w:rFonts w:ascii="Arial Narrow" w:hAnsi="Arial Narrow" w:cs="Tahoma"/>
          <w:sz w:val="22"/>
          <w:lang w:val="ru-RU"/>
        </w:rPr>
        <w:t>период</w:t>
      </w:r>
      <w:r w:rsidRPr="00EF1215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EF1215">
        <w:rPr>
          <w:rFonts w:ascii="Arial Narrow" w:hAnsi="Arial Narrow" w:cs="Tahoma"/>
          <w:sz w:val="22"/>
          <w:lang w:val="ru-RU"/>
        </w:rPr>
        <w:t>периоду</w:t>
      </w:r>
      <w:r w:rsidRPr="00EF1215">
        <w:rPr>
          <w:rFonts w:ascii="Arial Narrow" w:hAnsi="Arial Narrow" w:cs="Tahoma"/>
          <w:sz w:val="22"/>
          <w:lang w:val="ru-RU"/>
        </w:rPr>
        <w:t xml:space="preserve">, износио </w:t>
      </w:r>
      <w:r w:rsidR="004C7F77" w:rsidRPr="00EF1215">
        <w:rPr>
          <w:rFonts w:ascii="Arial Narrow" w:hAnsi="Arial Narrow" w:cs="Tahoma"/>
          <w:sz w:val="22"/>
          <w:lang w:val="ru-RU"/>
        </w:rPr>
        <w:t>4</w:t>
      </w:r>
      <w:r w:rsidR="00AF73B5" w:rsidRPr="00EF1215">
        <w:rPr>
          <w:rFonts w:ascii="Arial Narrow" w:hAnsi="Arial Narrow" w:cs="Tahoma"/>
          <w:sz w:val="22"/>
          <w:lang w:val="ru-RU"/>
        </w:rPr>
        <w:t xml:space="preserve"> </w:t>
      </w:r>
      <w:r w:rsidR="00BE4A93" w:rsidRPr="00EF1215">
        <w:rPr>
          <w:rFonts w:ascii="Arial Narrow" w:hAnsi="Arial Narrow" w:cs="Tahoma"/>
          <w:sz w:val="22"/>
          <w:lang w:val="ru-RU"/>
        </w:rPr>
        <w:t>милијард</w:t>
      </w:r>
      <w:r w:rsidR="00AF73B5" w:rsidRPr="00EF1215">
        <w:rPr>
          <w:rFonts w:ascii="Arial Narrow" w:hAnsi="Arial Narrow" w:cs="Tahoma"/>
          <w:sz w:val="22"/>
          <w:lang w:val="ru-RU"/>
        </w:rPr>
        <w:t xml:space="preserve">е </w:t>
      </w:r>
      <w:r w:rsidR="004C7F77" w:rsidRPr="00EF1215">
        <w:rPr>
          <w:rFonts w:ascii="Arial Narrow" w:hAnsi="Arial Narrow" w:cs="Tahoma"/>
          <w:sz w:val="22"/>
          <w:lang w:val="ru-RU"/>
        </w:rPr>
        <w:t>406</w:t>
      </w:r>
      <w:r w:rsidRPr="00EF1215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EF1215">
        <w:rPr>
          <w:rFonts w:ascii="Arial Narrow" w:hAnsi="Arial Narrow" w:cs="Tahoma"/>
          <w:sz w:val="22"/>
          <w:lang w:val="ru-RU"/>
        </w:rPr>
        <w:t>а</w:t>
      </w:r>
      <w:r w:rsidRPr="00EF1215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4C7F77" w:rsidRPr="00EF1215">
        <w:rPr>
          <w:rFonts w:ascii="Arial Narrow" w:hAnsi="Arial Narrow" w:cs="Tahoma"/>
          <w:sz w:val="22"/>
          <w:lang w:val="ru-RU"/>
        </w:rPr>
        <w:t>0</w:t>
      </w:r>
      <w:r w:rsidRPr="00EF1215">
        <w:rPr>
          <w:rFonts w:ascii="Arial Narrow" w:hAnsi="Arial Narrow" w:cs="Tahoma"/>
          <w:sz w:val="22"/>
          <w:lang w:val="sr-Latn-CS"/>
        </w:rPr>
        <w:t>,</w:t>
      </w:r>
      <w:r w:rsidR="004C7F77" w:rsidRPr="00EF1215">
        <w:rPr>
          <w:rFonts w:ascii="Arial Narrow" w:hAnsi="Arial Narrow" w:cs="Tahoma"/>
          <w:sz w:val="22"/>
          <w:lang w:val="sr-Cyrl-BA"/>
        </w:rPr>
        <w:t>8</w:t>
      </w:r>
      <w:r w:rsidRPr="00EF1215">
        <w:rPr>
          <w:rFonts w:ascii="Arial Narrow" w:hAnsi="Arial Narrow" w:cs="Tahoma"/>
          <w:sz w:val="22"/>
          <w:lang w:val="ru-RU"/>
        </w:rPr>
        <w:t xml:space="preserve">% </w:t>
      </w:r>
      <w:r w:rsidR="004C7F77" w:rsidRPr="00EF1215">
        <w:rPr>
          <w:rFonts w:ascii="Arial Narrow" w:hAnsi="Arial Narrow" w:cs="Tahoma"/>
          <w:sz w:val="22"/>
          <w:lang w:val="ru-RU"/>
        </w:rPr>
        <w:t xml:space="preserve">више </w:t>
      </w:r>
      <w:r w:rsidRPr="00EF1215">
        <w:rPr>
          <w:rFonts w:ascii="Arial Narrow" w:hAnsi="Arial Narrow" w:cs="Tahoma"/>
          <w:sz w:val="22"/>
          <w:lang w:val="ru-RU"/>
        </w:rPr>
        <w:t xml:space="preserve">у односу на исти </w:t>
      </w:r>
      <w:r w:rsidR="003A0849" w:rsidRPr="00EF1215">
        <w:rPr>
          <w:rFonts w:ascii="Arial Narrow" w:hAnsi="Arial Narrow" w:cs="Tahoma"/>
          <w:sz w:val="22"/>
          <w:lang w:val="ru-RU"/>
        </w:rPr>
        <w:t>период</w:t>
      </w:r>
      <w:r w:rsidRPr="00EF1215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EF1215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EF1215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EF1215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EF1215">
        <w:rPr>
          <w:rFonts w:ascii="Arial Narrow" w:hAnsi="Arial Narrow" w:cs="Tahoma"/>
          <w:sz w:val="22"/>
        </w:rPr>
        <w:t>e</w:t>
      </w:r>
      <w:r w:rsidRPr="00EF1215">
        <w:rPr>
          <w:rFonts w:ascii="Arial Narrow" w:hAnsi="Arial Narrow" w:cs="Tahoma"/>
          <w:sz w:val="22"/>
          <w:lang w:val="ru-RU"/>
        </w:rPr>
        <w:t xml:space="preserve"> Српск</w:t>
      </w:r>
      <w:r w:rsidRPr="00EF1215">
        <w:rPr>
          <w:rFonts w:ascii="Arial Narrow" w:hAnsi="Arial Narrow" w:cs="Tahoma"/>
          <w:sz w:val="22"/>
        </w:rPr>
        <w:t>e</w:t>
      </w:r>
      <w:r w:rsidRPr="00EF1215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3A0849" w:rsidRPr="00EF1215">
        <w:rPr>
          <w:rFonts w:ascii="Arial Narrow" w:hAnsi="Arial Narrow" w:cs="Tahoma"/>
          <w:sz w:val="22"/>
          <w:lang w:val="ru-RU"/>
        </w:rPr>
        <w:t xml:space="preserve">периоду </w:t>
      </w:r>
      <w:r w:rsidRPr="00EF1215">
        <w:rPr>
          <w:rFonts w:ascii="Arial Narrow" w:hAnsi="Arial Narrow" w:cs="Tahoma"/>
          <w:sz w:val="22"/>
          <w:lang w:val="ru-RU"/>
        </w:rPr>
        <w:t>јануар</w:t>
      </w:r>
      <w:r w:rsidR="003A0849" w:rsidRPr="00EF1215">
        <w:rPr>
          <w:rFonts w:ascii="Arial Narrow" w:hAnsi="Arial Narrow" w:cs="Tahoma"/>
          <w:sz w:val="22"/>
          <w:lang w:val="ru-RU"/>
        </w:rPr>
        <w:t xml:space="preserve"> - </w:t>
      </w:r>
      <w:r w:rsidR="004C7F77" w:rsidRPr="00EF1215">
        <w:rPr>
          <w:rFonts w:ascii="Arial Narrow" w:hAnsi="Arial Narrow" w:cs="Tahoma"/>
          <w:sz w:val="22"/>
          <w:szCs w:val="22"/>
          <w:lang w:val="ru-RU"/>
        </w:rPr>
        <w:t xml:space="preserve">децембар </w:t>
      </w:r>
      <w:r w:rsidRPr="00EF1215">
        <w:rPr>
          <w:rFonts w:ascii="Arial Narrow" w:hAnsi="Arial Narrow" w:cs="Tahoma"/>
          <w:sz w:val="22"/>
          <w:lang w:val="sr-Cyrl-CS"/>
        </w:rPr>
        <w:t>201</w:t>
      </w:r>
      <w:r w:rsidR="00384927" w:rsidRPr="00EF1215">
        <w:rPr>
          <w:rFonts w:ascii="Arial Narrow" w:hAnsi="Arial Narrow" w:cs="Tahoma"/>
          <w:sz w:val="22"/>
          <w:lang w:val="sr-Cyrl-CS"/>
        </w:rPr>
        <w:t>6</w:t>
      </w:r>
      <w:r w:rsidRPr="00EF1215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401613" w:rsidRPr="00EF1215">
        <w:rPr>
          <w:rFonts w:ascii="Arial Narrow" w:hAnsi="Arial Narrow" w:cs="Tahoma"/>
          <w:sz w:val="22"/>
          <w:lang w:val="sr-Cyrl-BA"/>
        </w:rPr>
        <w:t>4</w:t>
      </w:r>
      <w:r w:rsidR="004C7F77" w:rsidRPr="00EF1215">
        <w:rPr>
          <w:rFonts w:ascii="Arial Narrow" w:hAnsi="Arial Narrow" w:cs="Tahoma"/>
          <w:sz w:val="22"/>
          <w:lang w:val="sr-Cyrl-BA"/>
        </w:rPr>
        <w:t>99</w:t>
      </w:r>
      <w:r w:rsidR="007D2CAE" w:rsidRPr="00EF1215">
        <w:rPr>
          <w:rFonts w:ascii="Arial Narrow" w:hAnsi="Arial Narrow" w:cs="Tahoma"/>
          <w:sz w:val="22"/>
          <w:lang w:val="sr-Latn-BA"/>
        </w:rPr>
        <w:t xml:space="preserve"> </w:t>
      </w:r>
      <w:r w:rsidRPr="00EF1215">
        <w:rPr>
          <w:rFonts w:ascii="Arial Narrow" w:hAnsi="Arial Narrow" w:cs="Tahoma"/>
          <w:sz w:val="22"/>
          <w:lang w:val="sr-Cyrl-CS"/>
        </w:rPr>
        <w:t>милиона КМ, односно 1</w:t>
      </w:r>
      <w:r w:rsidR="001D519A" w:rsidRPr="00EF1215">
        <w:rPr>
          <w:rFonts w:ascii="Arial Narrow" w:hAnsi="Arial Narrow" w:cs="Tahoma"/>
          <w:sz w:val="22"/>
          <w:lang w:val="sr-Cyrl-CS"/>
        </w:rPr>
        <w:t>7</w:t>
      </w:r>
      <w:r w:rsidRPr="00EF1215">
        <w:rPr>
          <w:rFonts w:ascii="Arial Narrow" w:hAnsi="Arial Narrow" w:cs="Tahoma"/>
          <w:sz w:val="22"/>
          <w:lang w:val="sr-Cyrl-CS"/>
        </w:rPr>
        <w:t>,</w:t>
      </w:r>
      <w:r w:rsidR="004C7F77" w:rsidRPr="00EF1215">
        <w:rPr>
          <w:rFonts w:ascii="Arial Narrow" w:hAnsi="Arial Narrow" w:cs="Tahoma"/>
          <w:sz w:val="22"/>
          <w:lang w:val="sr-Cyrl-CS"/>
        </w:rPr>
        <w:t>4</w:t>
      </w:r>
      <w:r w:rsidRPr="00EF1215">
        <w:rPr>
          <w:rFonts w:ascii="Arial Narrow" w:hAnsi="Arial Narrow" w:cs="Tahoma"/>
          <w:sz w:val="22"/>
          <w:lang w:val="sr-Cyrl-CS"/>
        </w:rPr>
        <w:t>%</w:t>
      </w:r>
      <w:r w:rsidRPr="00EF1215">
        <w:rPr>
          <w:rFonts w:ascii="Arial Narrow" w:hAnsi="Arial Narrow" w:cs="Tahoma"/>
          <w:sz w:val="22"/>
          <w:lang w:val="ru-RU"/>
        </w:rPr>
        <w:t xml:space="preserve">, </w:t>
      </w:r>
      <w:r w:rsidRPr="00EF1215">
        <w:rPr>
          <w:rFonts w:ascii="Arial Narrow" w:hAnsi="Arial Narrow" w:cs="Tahoma"/>
          <w:sz w:val="22"/>
          <w:lang w:val="sr-Cyrl-CS"/>
        </w:rPr>
        <w:t xml:space="preserve">те у </w:t>
      </w:r>
      <w:r w:rsidR="00466A69" w:rsidRPr="00EF1215">
        <w:rPr>
          <w:rFonts w:ascii="Arial Narrow" w:hAnsi="Arial Narrow" w:cs="Tahoma"/>
          <w:sz w:val="22"/>
          <w:lang w:val="sr-Cyrl-CS"/>
        </w:rPr>
        <w:t>Србију</w:t>
      </w:r>
      <w:r w:rsidRPr="00EF1215">
        <w:rPr>
          <w:rFonts w:ascii="Arial Narrow" w:hAnsi="Arial Narrow" w:cs="Tahoma"/>
          <w:sz w:val="22"/>
          <w:lang w:val="sr-Cyrl-CS"/>
        </w:rPr>
        <w:t xml:space="preserve"> </w:t>
      </w:r>
      <w:r w:rsidR="007814A6" w:rsidRPr="00EF1215">
        <w:rPr>
          <w:rFonts w:ascii="Arial Narrow" w:hAnsi="Arial Narrow" w:cs="Tahoma"/>
          <w:sz w:val="22"/>
          <w:lang w:val="sr-Cyrl-CS"/>
        </w:rPr>
        <w:t>3</w:t>
      </w:r>
      <w:r w:rsidR="004C7F77" w:rsidRPr="00EF1215">
        <w:rPr>
          <w:rFonts w:ascii="Arial Narrow" w:hAnsi="Arial Narrow" w:cs="Tahoma"/>
          <w:sz w:val="22"/>
          <w:lang w:val="sr-Cyrl-CS"/>
        </w:rPr>
        <w:t>59</w:t>
      </w:r>
      <w:r w:rsidR="00384927" w:rsidRPr="00EF1215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D43A08" w:rsidRPr="00EF1215">
        <w:rPr>
          <w:rFonts w:ascii="Arial Narrow" w:hAnsi="Arial Narrow" w:cs="Tahoma"/>
          <w:sz w:val="22"/>
          <w:lang w:val="sr-Cyrl-CS"/>
        </w:rPr>
        <w:t>2</w:t>
      </w:r>
      <w:r w:rsidR="00384927" w:rsidRPr="00EF1215">
        <w:rPr>
          <w:rFonts w:ascii="Arial Narrow" w:hAnsi="Arial Narrow" w:cs="Tahoma"/>
          <w:sz w:val="22"/>
          <w:lang w:val="sr-Cyrl-CS"/>
        </w:rPr>
        <w:t>,</w:t>
      </w:r>
      <w:r w:rsidR="004C7F77" w:rsidRPr="00EF1215">
        <w:rPr>
          <w:rFonts w:ascii="Arial Narrow" w:hAnsi="Arial Narrow" w:cs="Tahoma"/>
          <w:sz w:val="22"/>
          <w:lang w:val="sr-Cyrl-CS"/>
        </w:rPr>
        <w:t>5</w:t>
      </w:r>
      <w:r w:rsidRPr="00EF1215">
        <w:rPr>
          <w:rFonts w:ascii="Arial Narrow" w:hAnsi="Arial Narrow" w:cs="Tahoma"/>
          <w:sz w:val="22"/>
          <w:lang w:val="sr-Cyrl-CS"/>
        </w:rPr>
        <w:t xml:space="preserve">% од укупног оствареног извоза. У истом </w:t>
      </w:r>
      <w:r w:rsidR="003A0849" w:rsidRPr="00EF1215">
        <w:rPr>
          <w:rFonts w:ascii="Arial Narrow" w:hAnsi="Arial Narrow" w:cs="Tahoma"/>
          <w:sz w:val="22"/>
          <w:lang w:val="sr-Cyrl-CS"/>
        </w:rPr>
        <w:t>периоду</w:t>
      </w:r>
      <w:r w:rsidRPr="00EF1215">
        <w:rPr>
          <w:rFonts w:ascii="Arial Narrow" w:hAnsi="Arial Narrow" w:cs="Tahoma"/>
          <w:sz w:val="22"/>
          <w:lang w:val="sr-Cyrl-CS"/>
        </w:rPr>
        <w:t xml:space="preserve">, </w:t>
      </w:r>
      <w:r w:rsidRPr="00EF1215">
        <w:rPr>
          <w:rFonts w:ascii="Arial Narrow" w:hAnsi="Arial Narrow" w:cs="Tahoma"/>
          <w:sz w:val="22"/>
          <w:lang w:val="sr-Cyrl-BA"/>
        </w:rPr>
        <w:t>н</w:t>
      </w:r>
      <w:r w:rsidRPr="00EF1215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4C7F77" w:rsidRPr="00EF1215">
        <w:rPr>
          <w:rFonts w:ascii="Arial Narrow" w:hAnsi="Arial Narrow" w:cs="Tahoma"/>
          <w:sz w:val="22"/>
          <w:lang w:val="sr-Cyrl-BA"/>
        </w:rPr>
        <w:t>804</w:t>
      </w:r>
      <w:r w:rsidR="00101E3A" w:rsidRPr="00EF1215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EF1215">
        <w:rPr>
          <w:rFonts w:ascii="Arial Narrow" w:hAnsi="Arial Narrow" w:cs="Tahoma"/>
          <w:sz w:val="22"/>
          <w:lang w:val="sr-Cyrl-CS"/>
        </w:rPr>
        <w:t>милион</w:t>
      </w:r>
      <w:r w:rsidR="00E004C7" w:rsidRPr="00EF1215">
        <w:rPr>
          <w:rFonts w:ascii="Arial Narrow" w:hAnsi="Arial Narrow" w:cs="Tahoma"/>
          <w:sz w:val="22"/>
          <w:lang w:val="sr-Latn-BA"/>
        </w:rPr>
        <w:t>a</w:t>
      </w:r>
      <w:r w:rsidR="00E34FF5" w:rsidRPr="00EF1215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D43A08" w:rsidRPr="00EF1215">
        <w:rPr>
          <w:rFonts w:ascii="Arial Narrow" w:hAnsi="Arial Narrow" w:cs="Tahoma"/>
          <w:sz w:val="22"/>
          <w:lang w:val="sr-Cyrl-CS"/>
        </w:rPr>
        <w:t>8</w:t>
      </w:r>
      <w:r w:rsidR="00E34FF5" w:rsidRPr="00EF1215">
        <w:rPr>
          <w:rFonts w:ascii="Arial Narrow" w:hAnsi="Arial Narrow" w:cs="Tahoma"/>
          <w:sz w:val="22"/>
          <w:lang w:val="sr-Cyrl-CS"/>
        </w:rPr>
        <w:t>,</w:t>
      </w:r>
      <w:r w:rsidR="004C7F77" w:rsidRPr="00EF1215">
        <w:rPr>
          <w:rFonts w:ascii="Arial Narrow" w:hAnsi="Arial Narrow" w:cs="Tahoma"/>
          <w:sz w:val="22"/>
          <w:lang w:val="sr-Cyrl-CS"/>
        </w:rPr>
        <w:t>3</w:t>
      </w:r>
      <w:r w:rsidRPr="00EF1215">
        <w:rPr>
          <w:rFonts w:ascii="Arial Narrow" w:hAnsi="Arial Narrow" w:cs="Tahoma"/>
          <w:sz w:val="22"/>
          <w:lang w:val="sr-Cyrl-CS"/>
        </w:rPr>
        <w:t xml:space="preserve">% и из </w:t>
      </w:r>
      <w:r w:rsidR="004C7F77" w:rsidRPr="00EF1215">
        <w:rPr>
          <w:rFonts w:ascii="Arial Narrow" w:hAnsi="Arial Narrow" w:cs="Tahoma"/>
          <w:sz w:val="22"/>
          <w:lang w:val="sr-Cyrl-CS"/>
        </w:rPr>
        <w:t>Русије</w:t>
      </w:r>
      <w:r w:rsidRPr="00EF1215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4C7F77" w:rsidRPr="00EF1215">
        <w:rPr>
          <w:rFonts w:ascii="Arial Narrow" w:hAnsi="Arial Narrow" w:cs="Tahoma"/>
          <w:sz w:val="22"/>
          <w:lang w:val="sr-Cyrl-BA"/>
        </w:rPr>
        <w:t>556</w:t>
      </w:r>
      <w:r w:rsidR="003A0849" w:rsidRPr="00EF1215">
        <w:rPr>
          <w:rFonts w:ascii="Arial Narrow" w:hAnsi="Arial Narrow" w:cs="Tahoma"/>
          <w:sz w:val="22"/>
          <w:lang w:val="sr-Cyrl-CS"/>
        </w:rPr>
        <w:t xml:space="preserve"> милион</w:t>
      </w:r>
      <w:r w:rsidR="0031402B" w:rsidRPr="00EF1215">
        <w:rPr>
          <w:rFonts w:ascii="Arial Narrow" w:hAnsi="Arial Narrow" w:cs="Tahoma"/>
          <w:sz w:val="22"/>
          <w:lang w:val="sr-Cyrl-CS"/>
        </w:rPr>
        <w:t>а</w:t>
      </w:r>
      <w:r w:rsidR="003A0849" w:rsidRPr="00EF1215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1D519A" w:rsidRPr="00EF1215">
        <w:rPr>
          <w:rFonts w:ascii="Arial Narrow" w:hAnsi="Arial Narrow" w:cs="Tahoma"/>
          <w:sz w:val="22"/>
          <w:lang w:val="sr-Cyrl-CS"/>
        </w:rPr>
        <w:t>2</w:t>
      </w:r>
      <w:r w:rsidR="007E3425" w:rsidRPr="00EF1215">
        <w:rPr>
          <w:rFonts w:ascii="Arial Narrow" w:hAnsi="Arial Narrow" w:cs="Tahoma"/>
          <w:sz w:val="22"/>
          <w:lang w:val="sr-Cyrl-CS"/>
        </w:rPr>
        <w:t>,</w:t>
      </w:r>
      <w:r w:rsidR="001D519A" w:rsidRPr="00EF1215">
        <w:rPr>
          <w:rFonts w:ascii="Arial Narrow" w:hAnsi="Arial Narrow" w:cs="Tahoma"/>
          <w:sz w:val="22"/>
          <w:lang w:val="sr-Cyrl-CS"/>
        </w:rPr>
        <w:t>6</w:t>
      </w:r>
      <w:r w:rsidRPr="00EF1215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EF1215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EF1215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EF1215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3A0849" w:rsidRPr="00EF1215">
        <w:rPr>
          <w:rFonts w:ascii="Arial Narrow" w:hAnsi="Arial Narrow" w:cs="Tahoma"/>
          <w:bCs/>
          <w:sz w:val="22"/>
          <w:szCs w:val="22"/>
          <w:lang w:val="ru-RU"/>
        </w:rPr>
        <w:t xml:space="preserve">периоду </w:t>
      </w:r>
      <w:r w:rsidR="00384927" w:rsidRPr="00EF1215">
        <w:rPr>
          <w:rFonts w:ascii="Arial Narrow" w:hAnsi="Arial Narrow" w:cs="Tahoma"/>
          <w:sz w:val="22"/>
          <w:szCs w:val="22"/>
          <w:lang w:val="ru-RU"/>
        </w:rPr>
        <w:t>јануар</w:t>
      </w:r>
      <w:r w:rsidR="003A0849" w:rsidRPr="00EF1215">
        <w:rPr>
          <w:rFonts w:ascii="Arial Narrow" w:hAnsi="Arial Narrow" w:cs="Tahoma"/>
          <w:sz w:val="22"/>
          <w:szCs w:val="22"/>
          <w:lang w:val="ru-RU"/>
        </w:rPr>
        <w:t xml:space="preserve"> - </w:t>
      </w:r>
      <w:r w:rsidR="004C7F77" w:rsidRPr="00EF1215">
        <w:rPr>
          <w:rFonts w:ascii="Arial Narrow" w:hAnsi="Arial Narrow" w:cs="Tahoma"/>
          <w:sz w:val="22"/>
          <w:szCs w:val="22"/>
          <w:lang w:val="ru-RU"/>
        </w:rPr>
        <w:t xml:space="preserve">децембар </w:t>
      </w:r>
      <w:r w:rsidRPr="00EF1215">
        <w:rPr>
          <w:rFonts w:ascii="Arial Narrow" w:hAnsi="Arial Narrow" w:cs="Tahoma"/>
          <w:sz w:val="22"/>
          <w:szCs w:val="22"/>
          <w:lang w:val="sr-Cyrl-CS"/>
        </w:rPr>
        <w:t>201</w:t>
      </w:r>
      <w:r w:rsidR="00384927" w:rsidRPr="00EF1215">
        <w:rPr>
          <w:rFonts w:ascii="Arial Narrow" w:hAnsi="Arial Narrow" w:cs="Tahoma"/>
          <w:sz w:val="22"/>
          <w:szCs w:val="22"/>
          <w:lang w:val="sr-Cyrl-CS"/>
        </w:rPr>
        <w:t>6</w:t>
      </w:r>
      <w:r w:rsidRPr="00EF1215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остварују </w:t>
      </w:r>
      <w:r w:rsidR="00BE4A93" w:rsidRPr="00EF1215">
        <w:rPr>
          <w:rFonts w:ascii="Arial Narrow" w:hAnsi="Arial Narrow" w:cs="Tahoma"/>
          <w:sz w:val="22"/>
          <w:szCs w:val="22"/>
          <w:lang w:val="sr-Cyrl-CS"/>
        </w:rPr>
        <w:t xml:space="preserve">обрађено дрво </w:t>
      </w:r>
      <w:r w:rsidR="00D96558" w:rsidRPr="00EF1215">
        <w:rPr>
          <w:rFonts w:ascii="Arial Narrow" w:hAnsi="Arial Narrow" w:cs="Tahoma"/>
          <w:sz w:val="22"/>
          <w:szCs w:val="22"/>
          <w:lang w:val="sr-Cyrl-CS"/>
        </w:rPr>
        <w:t>са</w:t>
      </w:r>
      <w:r w:rsidRPr="00EF1215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C7F77" w:rsidRPr="00EF1215">
        <w:rPr>
          <w:rFonts w:ascii="Arial Narrow" w:hAnsi="Arial Narrow" w:cs="Tahoma"/>
          <w:sz w:val="22"/>
          <w:szCs w:val="22"/>
          <w:lang w:val="sr-Cyrl-CS"/>
        </w:rPr>
        <w:t>173</w:t>
      </w:r>
      <w:r w:rsidR="003A0849" w:rsidRPr="00EF1215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BE4A93" w:rsidRPr="00EF1215">
        <w:rPr>
          <w:rFonts w:ascii="Arial Narrow" w:hAnsi="Arial Narrow" w:cs="Tahoma"/>
          <w:sz w:val="22"/>
          <w:szCs w:val="22"/>
          <w:lang w:val="sr-Cyrl-CS"/>
        </w:rPr>
        <w:t>6</w:t>
      </w:r>
      <w:r w:rsidR="008902BA" w:rsidRPr="00EF1215">
        <w:rPr>
          <w:rFonts w:ascii="Arial Narrow" w:hAnsi="Arial Narrow" w:cs="Tahoma"/>
          <w:sz w:val="22"/>
          <w:szCs w:val="22"/>
          <w:lang w:val="sr-Cyrl-CS"/>
        </w:rPr>
        <w:t>,</w:t>
      </w:r>
      <w:r w:rsidR="004C7F77" w:rsidRPr="00EF1215">
        <w:rPr>
          <w:rFonts w:ascii="Arial Narrow" w:hAnsi="Arial Narrow" w:cs="Tahoma"/>
          <w:sz w:val="22"/>
          <w:szCs w:val="22"/>
          <w:lang w:val="sr-Cyrl-CS"/>
        </w:rPr>
        <w:t>0</w:t>
      </w:r>
      <w:r w:rsidRPr="00EF1215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EF1215">
        <w:rPr>
          <w:rFonts w:ascii="Arial Narrow" w:hAnsi="Arial Narrow" w:cs="Tahoma"/>
          <w:sz w:val="22"/>
          <w:szCs w:val="22"/>
          <w:lang w:val="sr-Cyrl-BA"/>
        </w:rPr>
        <w:t>н</w:t>
      </w:r>
      <w:r w:rsidRPr="00EF1215">
        <w:rPr>
          <w:rFonts w:ascii="Arial Narrow" w:hAnsi="Arial Narrow" w:cs="Tahoma"/>
          <w:sz w:val="22"/>
          <w:szCs w:val="22"/>
          <w:lang w:val="ru-RU"/>
        </w:rPr>
        <w:t>афт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EF1215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EF1215">
        <w:rPr>
          <w:rFonts w:ascii="Arial Narrow" w:hAnsi="Arial Narrow" w:cs="Tahoma"/>
          <w:sz w:val="22"/>
          <w:szCs w:val="22"/>
          <w:lang w:val="ru-RU"/>
        </w:rPr>
        <w:t>сиров</w:t>
      </w:r>
      <w:r w:rsidRPr="00EF1215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4C7F77" w:rsidRPr="00EF1215">
        <w:rPr>
          <w:rFonts w:ascii="Arial Narrow" w:hAnsi="Arial Narrow" w:cs="Tahoma"/>
          <w:sz w:val="22"/>
          <w:szCs w:val="22"/>
          <w:lang w:val="sr-Cyrl-BA"/>
        </w:rPr>
        <w:t>516</w:t>
      </w:r>
      <w:r w:rsidR="008F10AE" w:rsidRPr="00EF1215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AF73B5" w:rsidRPr="00EF1215">
        <w:rPr>
          <w:rFonts w:ascii="Arial Narrow" w:hAnsi="Arial Narrow" w:cs="Tahoma"/>
          <w:sz w:val="22"/>
          <w:szCs w:val="22"/>
          <w:lang w:val="sr-Cyrl-BA"/>
        </w:rPr>
        <w:t>1</w:t>
      </w:r>
      <w:r w:rsidR="007814A6" w:rsidRPr="00EF1215">
        <w:rPr>
          <w:rFonts w:ascii="Arial Narrow" w:hAnsi="Arial Narrow" w:cs="Tahoma"/>
          <w:sz w:val="22"/>
          <w:szCs w:val="22"/>
          <w:lang w:val="sr-Cyrl-BA"/>
        </w:rPr>
        <w:t>1</w:t>
      </w:r>
      <w:r w:rsidR="008F10AE" w:rsidRPr="00EF1215">
        <w:rPr>
          <w:rFonts w:ascii="Arial Narrow" w:hAnsi="Arial Narrow" w:cs="Tahoma"/>
          <w:sz w:val="22"/>
          <w:szCs w:val="22"/>
          <w:lang w:val="sr-Cyrl-BA"/>
        </w:rPr>
        <w:t>,</w:t>
      </w:r>
      <w:r w:rsidR="004C7F77" w:rsidRPr="00EF1215">
        <w:rPr>
          <w:rFonts w:ascii="Arial Narrow" w:hAnsi="Arial Narrow" w:cs="Tahoma"/>
          <w:sz w:val="22"/>
          <w:szCs w:val="22"/>
          <w:lang w:val="sr-Cyrl-BA"/>
        </w:rPr>
        <w:t>7</w:t>
      </w:r>
      <w:r w:rsidRPr="00EF1215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EF1215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EF1215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EF1215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EF1215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EF1215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97731" w:rsidRPr="00EF1215" w:rsidRDefault="0079773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EF1215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EF1215" w:rsidRDefault="00307F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EF1215"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81.45pt;margin-top:8.7pt;width:55.45pt;height:19.75pt;z-index:251664384;mso-width-relative:margin;mso-height-relative:margin" stroked="f">
            <v:textbox style="mso-next-textbox:#_x0000_s1068">
              <w:txbxContent>
                <w:p w:rsidR="00786934" w:rsidRPr="000A1309" w:rsidRDefault="00786934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353834" w:rsidRPr="00EF1215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EF1215" w:rsidRDefault="00BA70D8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EF1215" w:rsidRDefault="00307F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EF1215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87.6pt;margin-top:218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786934" w:rsidRPr="000A1309" w:rsidRDefault="00786934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  <w:r w:rsidRPr="00EF1215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29.8pt;margin-top:218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786934" w:rsidRPr="000A1309" w:rsidRDefault="00786934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 w:rsidR="004C7F77" w:rsidRPr="00EF1215">
        <w:rPr>
          <w:noProof/>
        </w:rPr>
        <w:drawing>
          <wp:inline distT="0" distB="0" distL="0" distR="0">
            <wp:extent cx="3878580" cy="27813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E3A" w:rsidRPr="00EF1215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EF1215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EF1215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EF1215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EF1215">
        <w:rPr>
          <w:rFonts w:ascii="Arial Narrow" w:hAnsi="Arial Narrow" w:cs="Tahoma"/>
          <w:sz w:val="16"/>
          <w:szCs w:val="22"/>
          <w:lang w:val="sr-Cyrl-BA"/>
        </w:rPr>
        <w:t>4</w:t>
      </w:r>
      <w:r w:rsidRPr="00EF1215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EF1215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EF1215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EF1215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EF1215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EF1215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EF1215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EF1215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6C418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797731" w:rsidRPr="005C6891" w:rsidRDefault="0079773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5C6891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DC2DCC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DC2DCC" w:rsidRPr="00DC2DCC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806FE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C2DCC" w:rsidRPr="00DC2DCC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DC2DCC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DC2DCC" w:rsidRDefault="00307FD0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DC2DC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DC2DCC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DC2DCC" w:rsidRPr="00DC2DCC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DC2DCC" w:rsidRDefault="00307FD0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DC2DCC" w:rsidRPr="000744B4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66022A" w:rsidRPr="00DC2DCC" w:rsidRDefault="00307FD0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66022A" w:rsidRPr="00DC2DCC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C2DCC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DC2DCC" w:rsidRDefault="00307FD0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DC2DC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DC2DC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DC2DC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DC2DC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DC2DC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C2DC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C2DC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C2DC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C2DC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C2DC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DC2DC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C2DC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DC2DC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C2DC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DC2DC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97731" w:rsidRDefault="0079773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bookmarkStart w:id="0" w:name="_GoBack"/>
      <w:bookmarkEnd w:id="0"/>
    </w:p>
    <w:p w:rsidR="004612FE" w:rsidRPr="000C537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307FD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9277A6" w:rsidTr="009277A6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9277A6" w:rsidTr="009277A6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77A6" w:rsidRDefault="009277A6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>
              <w:rPr>
                <w:rFonts w:ascii="Arial Narrow" w:hAnsi="Arial Narrow" w:cs="Tahoma"/>
                <w:sz w:val="18"/>
              </w:rPr>
              <w:t>те</w:t>
            </w:r>
            <w:proofErr w:type="spellEnd"/>
            <w:r>
              <w:rPr>
                <w:rFonts w:ascii="Arial Narrow" w:hAnsi="Arial Narrow" w:cs="Tahoma"/>
                <w:sz w:val="18"/>
                <w:lang w:val="sr-Cyrl-CS"/>
              </w:rPr>
              <w:t>њ</w:t>
            </w:r>
            <w:r>
              <w:rPr>
                <w:rFonts w:ascii="Arial Narrow" w:hAnsi="Arial Narrow" w:cs="Tahoma"/>
                <w:sz w:val="18"/>
              </w:rPr>
              <w:t xml:space="preserve">е </w:t>
            </w:r>
            <w:r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9277A6" w:rsidRPr="000744B4" w:rsidTr="009277A6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  <w:r>
              <w:rPr>
                <w:rFonts w:ascii="Arial Narrow" w:hAnsi="Arial Narrow" w:cs="Tahoma"/>
                <w:sz w:val="18"/>
                <w:szCs w:val="18"/>
              </w:rPr>
              <w:t>и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главни уредник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277A6" w:rsidRDefault="009277A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9277A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277A6" w:rsidRDefault="009277A6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277A6" w:rsidRDefault="009277A6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307FD0" w:rsidP="009E2A9A">
      <w:pPr>
        <w:rPr>
          <w:rFonts w:ascii="Tahoma" w:hAnsi="Tahoma" w:cs="Tahoma"/>
          <w:lang w:val="sr-Latn-CS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34" w:rsidRDefault="00786934">
      <w:r>
        <w:separator/>
      </w:r>
    </w:p>
  </w:endnote>
  <w:endnote w:type="continuationSeparator" w:id="0">
    <w:p w:rsidR="00786934" w:rsidRDefault="0078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34" w:rsidRDefault="00307FD0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786934" w:rsidRPr="00175687" w:rsidRDefault="004B5F41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786934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307FD0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34" w:rsidRDefault="00307FD0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786934" w:rsidRPr="00175687" w:rsidRDefault="004B5F41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786934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307FD0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34" w:rsidRDefault="00786934">
      <w:r>
        <w:separator/>
      </w:r>
    </w:p>
  </w:footnote>
  <w:footnote w:type="continuationSeparator" w:id="0">
    <w:p w:rsidR="00786934" w:rsidRDefault="00786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786934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786934" w:rsidRPr="00DB5870" w:rsidRDefault="00786934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786934" w:rsidRPr="00DB5870" w:rsidRDefault="00786934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786934" w:rsidRPr="005D5311" w:rsidRDefault="00786934" w:rsidP="006C418B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 w:rsidR="006C418B">
            <w:rPr>
              <w:rFonts w:ascii="Arial Narrow" w:hAnsi="Arial Narrow" w:cs="Tahoma"/>
              <w:color w:val="1F497D" w:themeColor="text2"/>
              <w:sz w:val="16"/>
              <w:lang w:val="sr-Latn-BA"/>
            </w:rPr>
            <w:t>3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 w:rsidR="00797731"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I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 w:rsidR="006C418B"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7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 w:rsidR="005A718D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Latn-BA"/>
            </w:rPr>
            <w:t>3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 w:rsidR="006C418B"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7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786934" w:rsidRDefault="00307FD0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986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23A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976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988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13F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07FD0"/>
    <w:rsid w:val="003100EC"/>
    <w:rsid w:val="00310247"/>
    <w:rsid w:val="00310650"/>
    <w:rsid w:val="003107D2"/>
    <w:rsid w:val="003108F1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3311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786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7A2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2A5"/>
    <w:rsid w:val="005F738E"/>
    <w:rsid w:val="005F74B0"/>
    <w:rsid w:val="005F7AFC"/>
    <w:rsid w:val="006000B3"/>
    <w:rsid w:val="00600C85"/>
    <w:rsid w:val="00600D0E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97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5DBB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215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F23"/>
    <w:rsid w:val="00F6075A"/>
    <w:rsid w:val="00F61BAF"/>
    <w:rsid w:val="00F61FE3"/>
    <w:rsid w:val="00F6269A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987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6E91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0C7F1997-C492-4BEA-B2B7-188A089F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rajina\Publikovanje\01%20Saopstenja\2016\Cijene\Indeksi%20potrosackih%20cijena\Grafikon_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2015</c:v>
                  </c:pt>
                  <c:pt idx="1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834</c:v>
                </c:pt>
                <c:pt idx="1">
                  <c:v>816</c:v>
                </c:pt>
                <c:pt idx="2">
                  <c:v>838</c:v>
                </c:pt>
                <c:pt idx="3">
                  <c:v>837</c:v>
                </c:pt>
                <c:pt idx="4">
                  <c:v>832</c:v>
                </c:pt>
                <c:pt idx="5">
                  <c:v>841</c:v>
                </c:pt>
                <c:pt idx="6">
                  <c:v>845</c:v>
                </c:pt>
                <c:pt idx="7">
                  <c:v>838</c:v>
                </c:pt>
                <c:pt idx="8">
                  <c:v>838</c:v>
                </c:pt>
                <c:pt idx="9">
                  <c:v>834</c:v>
                </c:pt>
                <c:pt idx="10">
                  <c:v>837</c:v>
                </c:pt>
                <c:pt idx="11">
                  <c:v>839</c:v>
                </c:pt>
                <c:pt idx="12">
                  <c:v>835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067832"/>
        <c:axId val="150068216"/>
      </c:lineChart>
      <c:catAx>
        <c:axId val="15006783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50068216"/>
        <c:crosses val="autoZero"/>
        <c:auto val="1"/>
        <c:lblAlgn val="ctr"/>
        <c:lblOffset val="100"/>
        <c:noMultiLvlLbl val="0"/>
      </c:catAx>
      <c:valAx>
        <c:axId val="150068216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1500678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801E-2"/>
          <c:w val="0.90069686411149863"/>
          <c:h val="0.76569037656904126"/>
        </c:manualLayout>
      </c:layout>
      <c:lineChart>
        <c:grouping val="standard"/>
        <c:varyColors val="0"/>
        <c:ser>
          <c:idx val="0"/>
          <c:order val="0"/>
          <c:tx>
            <c:strRef>
              <c:f>okt!$C$3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okt!$A$4:$B$16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2015</c:v>
                  </c:pt>
                  <c:pt idx="1">
                    <c:v>2016</c:v>
                  </c:pt>
                </c:lvl>
              </c:multiLvlStrCache>
            </c:multiLvlStrRef>
          </c:cat>
          <c:val>
            <c:numRef>
              <c:f>okt!$C$4:$C$16</c:f>
              <c:numCache>
                <c:formatCode>General</c:formatCode>
                <c:ptCount val="13"/>
                <c:pt idx="0">
                  <c:v>-0.2</c:v>
                </c:pt>
                <c:pt idx="1">
                  <c:v>0.2</c:v>
                </c:pt>
                <c:pt idx="2">
                  <c:v>-0.2</c:v>
                </c:pt>
                <c:pt idx="3" formatCode="0.0">
                  <c:v>0</c:v>
                </c:pt>
                <c:pt idx="4" formatCode="0.0">
                  <c:v>-1</c:v>
                </c:pt>
                <c:pt idx="5">
                  <c:v>0.1</c:v>
                </c:pt>
                <c:pt idx="6">
                  <c:v>-0.2</c:v>
                </c:pt>
                <c:pt idx="7">
                  <c:v>-0.3</c:v>
                </c:pt>
                <c:pt idx="8">
                  <c:v>-0.3</c:v>
                </c:pt>
                <c:pt idx="9">
                  <c:v>0.1</c:v>
                </c:pt>
                <c:pt idx="10">
                  <c:v>1.4</c:v>
                </c:pt>
                <c:pt idx="11">
                  <c:v>0.1</c:v>
                </c:pt>
                <c:pt idx="12">
                  <c:v>-0.1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okt!$D$3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okt!$A$4:$B$16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2015</c:v>
                  </c:pt>
                  <c:pt idx="1">
                    <c:v>2016</c:v>
                  </c:pt>
                </c:lvl>
              </c:multiLvlStrCache>
            </c:multiLvlStrRef>
          </c:cat>
          <c:val>
            <c:numRef>
              <c:f>okt!$D$4:$D$16</c:f>
              <c:numCache>
                <c:formatCode>General</c:formatCode>
                <c:ptCount val="13"/>
                <c:pt idx="0">
                  <c:v>-1.6</c:v>
                </c:pt>
                <c:pt idx="1">
                  <c:v>-0.9</c:v>
                </c:pt>
                <c:pt idx="2">
                  <c:v>-1.3</c:v>
                </c:pt>
                <c:pt idx="3">
                  <c:v>-1.8</c:v>
                </c:pt>
                <c:pt idx="4">
                  <c:v>-1.7</c:v>
                </c:pt>
                <c:pt idx="5">
                  <c:v>-1.6</c:v>
                </c:pt>
                <c:pt idx="6">
                  <c:v>-1.6</c:v>
                </c:pt>
                <c:pt idx="7" formatCode="0.0">
                  <c:v>-1</c:v>
                </c:pt>
                <c:pt idx="8">
                  <c:v>-1.3</c:v>
                </c:pt>
                <c:pt idx="9">
                  <c:v>-1.2</c:v>
                </c:pt>
                <c:pt idx="10">
                  <c:v>-0.7</c:v>
                </c:pt>
                <c:pt idx="11">
                  <c:v>-0.3</c:v>
                </c:pt>
                <c:pt idx="12">
                  <c:v>-0.2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432680"/>
        <c:axId val="150433064"/>
      </c:lineChart>
      <c:catAx>
        <c:axId val="15043268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1504330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0433064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Narrow" panose="020B0606020202030204" pitchFamily="34" charset="0"/>
                <a:ea typeface="Calibri"/>
                <a:cs typeface="Calibri"/>
              </a:defRPr>
            </a:pPr>
            <a:endParaRPr lang="en-US"/>
          </a:p>
        </c:txPr>
        <c:crossAx val="150432680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16027874564459929"/>
          <c:y val="0.87082439996205296"/>
          <c:w val="0.7526132404181185"/>
          <c:h val="8.3682008368201166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Narrow" panose="020B0606020202030204" pitchFamily="34" charset="0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2012</c:v>
                  </c:pt>
                  <c:pt idx="1">
                    <c:v>2013</c:v>
                  </c:pt>
                  <c:pt idx="13">
                    <c:v>2014</c:v>
                  </c:pt>
                  <c:pt idx="25">
                    <c:v>2015</c:v>
                  </c:pt>
                  <c:pt idx="37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102.3</c:v>
                </c:pt>
                <c:pt idx="1">
                  <c:v>102</c:v>
                </c:pt>
                <c:pt idx="2">
                  <c:v>100.3</c:v>
                </c:pt>
                <c:pt idx="3">
                  <c:v>99.8</c:v>
                </c:pt>
                <c:pt idx="4">
                  <c:v>109.6</c:v>
                </c:pt>
                <c:pt idx="5">
                  <c:v>102.8</c:v>
                </c:pt>
                <c:pt idx="6">
                  <c:v>105.3</c:v>
                </c:pt>
                <c:pt idx="7">
                  <c:v>110.5</c:v>
                </c:pt>
                <c:pt idx="8">
                  <c:v>106.7</c:v>
                </c:pt>
                <c:pt idx="9">
                  <c:v>100.8</c:v>
                </c:pt>
                <c:pt idx="10">
                  <c:v>102.1</c:v>
                </c:pt>
                <c:pt idx="11">
                  <c:v>105.4</c:v>
                </c:pt>
                <c:pt idx="12">
                  <c:v>106.1</c:v>
                </c:pt>
                <c:pt idx="13">
                  <c:v>106.9</c:v>
                </c:pt>
                <c:pt idx="14">
                  <c:v>104.9</c:v>
                </c:pt>
                <c:pt idx="15">
                  <c:v>101.2</c:v>
                </c:pt>
                <c:pt idx="16">
                  <c:v>103.7</c:v>
                </c:pt>
                <c:pt idx="17">
                  <c:v>102.6</c:v>
                </c:pt>
                <c:pt idx="18">
                  <c:v>104.5</c:v>
                </c:pt>
                <c:pt idx="19">
                  <c:v>106.2</c:v>
                </c:pt>
                <c:pt idx="20">
                  <c:v>99.7</c:v>
                </c:pt>
                <c:pt idx="21">
                  <c:v>109.4</c:v>
                </c:pt>
                <c:pt idx="22">
                  <c:v>108.5</c:v>
                </c:pt>
                <c:pt idx="23">
                  <c:v>108.1</c:v>
                </c:pt>
                <c:pt idx="24">
                  <c:v>105.5</c:v>
                </c:pt>
                <c:pt idx="25">
                  <c:v>109.2</c:v>
                </c:pt>
                <c:pt idx="26">
                  <c:v>109.9</c:v>
                </c:pt>
                <c:pt idx="27">
                  <c:v>103.2</c:v>
                </c:pt>
                <c:pt idx="28">
                  <c:v>106.9</c:v>
                </c:pt>
                <c:pt idx="29">
                  <c:v>109.5</c:v>
                </c:pt>
                <c:pt idx="30">
                  <c:v>109.5</c:v>
                </c:pt>
                <c:pt idx="31">
                  <c:v>108</c:v>
                </c:pt>
                <c:pt idx="32">
                  <c:v>110.2</c:v>
                </c:pt>
                <c:pt idx="33">
                  <c:v>105.6</c:v>
                </c:pt>
                <c:pt idx="34">
                  <c:v>109.8</c:v>
                </c:pt>
                <c:pt idx="35">
                  <c:v>108.6</c:v>
                </c:pt>
                <c:pt idx="36">
                  <c:v>105.7</c:v>
                </c:pt>
                <c:pt idx="37">
                  <c:v>103.3</c:v>
                </c:pt>
                <c:pt idx="38">
                  <c:v>114.4</c:v>
                </c:pt>
                <c:pt idx="39">
                  <c:v>121.1</c:v>
                </c:pt>
                <c:pt idx="40">
                  <c:v>111.9</c:v>
                </c:pt>
                <c:pt idx="41">
                  <c:v>116.3</c:v>
                </c:pt>
                <c:pt idx="42">
                  <c:v>114.3</c:v>
                </c:pt>
                <c:pt idx="43">
                  <c:v>115.8</c:v>
                </c:pt>
                <c:pt idx="44">
                  <c:v>118.4</c:v>
                </c:pt>
                <c:pt idx="45">
                  <c:v>120.4</c:v>
                </c:pt>
                <c:pt idx="46">
                  <c:v>117.5</c:v>
                </c:pt>
                <c:pt idx="47">
                  <c:v>119.3</c:v>
                </c:pt>
                <c:pt idx="48">
                  <c:v>125.6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2012</c:v>
                  </c:pt>
                  <c:pt idx="1">
                    <c:v>2013</c:v>
                  </c:pt>
                  <c:pt idx="13">
                    <c:v>2014</c:v>
                  </c:pt>
                  <c:pt idx="25">
                    <c:v>2015</c:v>
                  </c:pt>
                  <c:pt idx="37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101.9</c:v>
                </c:pt>
                <c:pt idx="1">
                  <c:v>102.2</c:v>
                </c:pt>
                <c:pt idx="2">
                  <c:v>102.4</c:v>
                </c:pt>
                <c:pt idx="3">
                  <c:v>102.8</c:v>
                </c:pt>
                <c:pt idx="4">
                  <c:v>103.3</c:v>
                </c:pt>
                <c:pt idx="5">
                  <c:v>103.6</c:v>
                </c:pt>
                <c:pt idx="6">
                  <c:v>103.8</c:v>
                </c:pt>
                <c:pt idx="7">
                  <c:v>104.1</c:v>
                </c:pt>
                <c:pt idx="8">
                  <c:v>104.1</c:v>
                </c:pt>
                <c:pt idx="9">
                  <c:v>104.1</c:v>
                </c:pt>
                <c:pt idx="10">
                  <c:v>104.1</c:v>
                </c:pt>
                <c:pt idx="11">
                  <c:v>104.3</c:v>
                </c:pt>
                <c:pt idx="12">
                  <c:v>104.4</c:v>
                </c:pt>
                <c:pt idx="13">
                  <c:v>104.4</c:v>
                </c:pt>
                <c:pt idx="14">
                  <c:v>104.4</c:v>
                </c:pt>
                <c:pt idx="15">
                  <c:v>104.4</c:v>
                </c:pt>
                <c:pt idx="16">
                  <c:v>104.5</c:v>
                </c:pt>
                <c:pt idx="17">
                  <c:v>104.6</c:v>
                </c:pt>
                <c:pt idx="18">
                  <c:v>104.9</c:v>
                </c:pt>
                <c:pt idx="19">
                  <c:v>105.1</c:v>
                </c:pt>
                <c:pt idx="20">
                  <c:v>105.4</c:v>
                </c:pt>
                <c:pt idx="21">
                  <c:v>105.8</c:v>
                </c:pt>
                <c:pt idx="22">
                  <c:v>106.1</c:v>
                </c:pt>
                <c:pt idx="23">
                  <c:v>106.4</c:v>
                </c:pt>
                <c:pt idx="24">
                  <c:v>106.6</c:v>
                </c:pt>
                <c:pt idx="25">
                  <c:v>106.9</c:v>
                </c:pt>
                <c:pt idx="26">
                  <c:v>107.1</c:v>
                </c:pt>
                <c:pt idx="27">
                  <c:v>107.3</c:v>
                </c:pt>
                <c:pt idx="28">
                  <c:v>107.6</c:v>
                </c:pt>
                <c:pt idx="29">
                  <c:v>107.9</c:v>
                </c:pt>
                <c:pt idx="30">
                  <c:v>108.2</c:v>
                </c:pt>
                <c:pt idx="31">
                  <c:v>108.5</c:v>
                </c:pt>
                <c:pt idx="32">
                  <c:v>108.8</c:v>
                </c:pt>
                <c:pt idx="33">
                  <c:v>109.1</c:v>
                </c:pt>
                <c:pt idx="34">
                  <c:v>109.5</c:v>
                </c:pt>
                <c:pt idx="35">
                  <c:v>110</c:v>
                </c:pt>
                <c:pt idx="36">
                  <c:v>110.5</c:v>
                </c:pt>
                <c:pt idx="37">
                  <c:v>111.3</c:v>
                </c:pt>
                <c:pt idx="38">
                  <c:v>112.3</c:v>
                </c:pt>
                <c:pt idx="39">
                  <c:v>113.3</c:v>
                </c:pt>
                <c:pt idx="40">
                  <c:v>114.1</c:v>
                </c:pt>
                <c:pt idx="41">
                  <c:v>115</c:v>
                </c:pt>
                <c:pt idx="42">
                  <c:v>115.9</c:v>
                </c:pt>
                <c:pt idx="43">
                  <c:v>116.8</c:v>
                </c:pt>
                <c:pt idx="44">
                  <c:v>117.9</c:v>
                </c:pt>
                <c:pt idx="45">
                  <c:v>118.9</c:v>
                </c:pt>
                <c:pt idx="46">
                  <c:v>119.9</c:v>
                </c:pt>
                <c:pt idx="47">
                  <c:v>121.1</c:v>
                </c:pt>
                <c:pt idx="48">
                  <c:v>122.3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9837728"/>
        <c:axId val="149838112"/>
      </c:lineChart>
      <c:catAx>
        <c:axId val="14983772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9838112"/>
        <c:crosses val="autoZero"/>
        <c:auto val="1"/>
        <c:lblAlgn val="ctr"/>
        <c:lblOffset val="100"/>
        <c:noMultiLvlLbl val="0"/>
      </c:catAx>
      <c:valAx>
        <c:axId val="149838112"/>
        <c:scaling>
          <c:orientation val="minMax"/>
          <c:max val="130"/>
          <c:min val="9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chemeClr val="bg1">
                <a:lumMod val="50000"/>
              </a:schemeClr>
            </a:solidFill>
          </a:ln>
        </c:spPr>
        <c:crossAx val="14983772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zaDec2016!$A$2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zaDec2016!$B$1:$N$1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</c:v>
                </c:pt>
              </c:strCache>
            </c:strRef>
          </c:cat>
          <c:val>
            <c:numRef>
              <c:f>zaDec2016!$B$2:$N$2</c:f>
              <c:numCache>
                <c:formatCode>General</c:formatCode>
                <c:ptCount val="13"/>
                <c:pt idx="0">
                  <c:v>346357</c:v>
                </c:pt>
                <c:pt idx="1">
                  <c:v>227458</c:v>
                </c:pt>
                <c:pt idx="2">
                  <c:v>330459</c:v>
                </c:pt>
                <c:pt idx="3">
                  <c:v>354355</c:v>
                </c:pt>
                <c:pt idx="4">
                  <c:v>421365</c:v>
                </c:pt>
                <c:pt idx="5">
                  <c:v>315075</c:v>
                </c:pt>
                <c:pt idx="6">
                  <c:v>413259</c:v>
                </c:pt>
                <c:pt idx="7">
                  <c:v>384444</c:v>
                </c:pt>
                <c:pt idx="8">
                  <c:v>357467</c:v>
                </c:pt>
                <c:pt idx="9">
                  <c:v>380274</c:v>
                </c:pt>
                <c:pt idx="10">
                  <c:v>372983</c:v>
                </c:pt>
                <c:pt idx="11">
                  <c:v>399617</c:v>
                </c:pt>
                <c:pt idx="12">
                  <c:v>448853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zaDec2016!$A$3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zaDec2016!$B$1:$N$1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</c:v>
                </c:pt>
              </c:strCache>
            </c:strRef>
          </c:cat>
          <c:val>
            <c:numRef>
              <c:f>zaDec2016!$B$3:$N$3</c:f>
              <c:numCache>
                <c:formatCode>0</c:formatCode>
                <c:ptCount val="13"/>
                <c:pt idx="0">
                  <c:v>226207</c:v>
                </c:pt>
                <c:pt idx="1">
                  <c:v>183779</c:v>
                </c:pt>
                <c:pt idx="2">
                  <c:v>211524</c:v>
                </c:pt>
                <c:pt idx="3">
                  <c:v>239782</c:v>
                </c:pt>
                <c:pt idx="4">
                  <c:v>228100</c:v>
                </c:pt>
                <c:pt idx="5">
                  <c:v>234236</c:v>
                </c:pt>
                <c:pt idx="6">
                  <c:v>248861</c:v>
                </c:pt>
                <c:pt idx="7">
                  <c:v>245925</c:v>
                </c:pt>
                <c:pt idx="8">
                  <c:v>229795</c:v>
                </c:pt>
                <c:pt idx="9">
                  <c:v>265272</c:v>
                </c:pt>
                <c:pt idx="10">
                  <c:v>250736</c:v>
                </c:pt>
                <c:pt idx="11">
                  <c:v>267042</c:v>
                </c:pt>
                <c:pt idx="12">
                  <c:v>260279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0048120"/>
        <c:axId val="150048512"/>
      </c:lineChart>
      <c:catAx>
        <c:axId val="15004812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50048512"/>
        <c:crosses val="autoZero"/>
        <c:auto val="1"/>
        <c:lblAlgn val="ctr"/>
        <c:lblOffset val="100"/>
        <c:noMultiLvlLbl val="0"/>
      </c:catAx>
      <c:valAx>
        <c:axId val="150048512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50048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2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31E0-8392-4741-B89B-6982F73F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4125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8851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Ognjen Ignjic</cp:lastModifiedBy>
  <cp:revision>645</cp:revision>
  <cp:lastPrinted>2017-01-20T12:39:00Z</cp:lastPrinted>
  <dcterms:created xsi:type="dcterms:W3CDTF">2014-03-14T12:01:00Z</dcterms:created>
  <dcterms:modified xsi:type="dcterms:W3CDTF">2017-01-20T12:53:00Z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