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DD43EB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3</w:t>
            </w:r>
            <w:r w:rsidR="00DD43EB" w:rsidRPr="00DD43EB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rd</w:t>
            </w:r>
            <w:r w:rsidR="00DD43EB">
              <w:rPr>
                <w:rFonts w:ascii="Arial Narrow" w:hAnsi="Arial Narrow" w:cs="Tahoma"/>
                <w:color w:val="1F497D" w:themeColor="text2"/>
                <w:sz w:val="18"/>
              </w:rPr>
              <w:t xml:space="preserve"> February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082DA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2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D43EB" w:rsidRDefault="00DD43EB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February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D43EB" w:rsidRDefault="00DD43EB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C419FF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B1F2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47BF1">
        <w:rPr>
          <w:rFonts w:ascii="Arial Narrow" w:hAnsi="Arial Narrow" w:cs="Tahoma"/>
          <w:b/>
          <w:sz w:val="30"/>
          <w:szCs w:val="30"/>
        </w:rPr>
        <w:t>Average net wage in January</w:t>
      </w:r>
      <w:r w:rsidR="00E33D13" w:rsidRPr="00C419F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32724B" w:rsidRPr="00C419FF">
        <w:rPr>
          <w:rFonts w:ascii="Arial Narrow" w:hAnsi="Arial Narrow" w:cs="Tahoma"/>
          <w:b/>
          <w:sz w:val="30"/>
          <w:szCs w:val="30"/>
          <w:lang w:val="sr-Cyrl-CS"/>
        </w:rPr>
        <w:t>12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C419F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C419FF" w:rsidRDefault="00E47BF1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F6665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C419FF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32724B" w:rsidRPr="00C419FF">
        <w:rPr>
          <w:rFonts w:ascii="Arial Narrow" w:hAnsi="Arial Narrow" w:cs="Tahoma"/>
          <w:b/>
          <w:sz w:val="28"/>
          <w:szCs w:val="28"/>
          <w:lang w:val="sr-Cyrl-BA"/>
        </w:rPr>
        <w:t>07</w:t>
      </w:r>
      <w:r w:rsidR="00E33D13" w:rsidRPr="00C419F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C419F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0F6665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 xml:space="preserve">Administrative and support service activities </w:t>
      </w:r>
      <w:r w:rsidR="00E33D13" w:rsidRPr="00C419F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C419FF">
        <w:rPr>
          <w:rFonts w:ascii="Arial Narrow" w:hAnsi="Arial Narrow" w:cs="Tahoma"/>
          <w:b/>
          <w:sz w:val="28"/>
          <w:szCs w:val="28"/>
          <w:lang w:val="sr-Cyrl-BA"/>
        </w:rPr>
        <w:t>10</w:t>
      </w:r>
      <w:r w:rsidR="00E33D13" w:rsidRPr="00C419F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C419FF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86253" w:rsidRPr="00286253" w:rsidRDefault="0028625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0F6665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0F6665">
        <w:rPr>
          <w:rFonts w:ascii="Arial Narrow" w:hAnsi="Arial Narrow" w:cs="Tahoma"/>
          <w:sz w:val="22"/>
        </w:rPr>
        <w:t>Republika</w:t>
      </w:r>
      <w:proofErr w:type="spellEnd"/>
      <w:r w:rsidRPr="000F6665">
        <w:rPr>
          <w:rFonts w:ascii="Arial Narrow" w:hAnsi="Arial Narrow" w:cs="Tahoma"/>
          <w:sz w:val="22"/>
        </w:rPr>
        <w:t xml:space="preserve"> </w:t>
      </w:r>
      <w:proofErr w:type="spellStart"/>
      <w:r w:rsidRPr="000F6665">
        <w:rPr>
          <w:rFonts w:ascii="Arial Narrow" w:hAnsi="Arial Narrow" w:cs="Tahoma"/>
          <w:sz w:val="22"/>
        </w:rPr>
        <w:t>Srpska</w:t>
      </w:r>
      <w:proofErr w:type="spellEnd"/>
      <w:r w:rsidRPr="000F6665">
        <w:rPr>
          <w:rFonts w:ascii="Arial Narrow" w:hAnsi="Arial Narrow" w:cs="Tahoma"/>
          <w:sz w:val="22"/>
        </w:rPr>
        <w:t xml:space="preserve"> paid in </w:t>
      </w:r>
      <w:r>
        <w:rPr>
          <w:rFonts w:ascii="Arial Narrow" w:hAnsi="Arial Narrow" w:cs="Tahoma"/>
          <w:sz w:val="22"/>
        </w:rPr>
        <w:t>January</w:t>
      </w:r>
      <w:r w:rsidR="00E33D13"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>
        <w:rPr>
          <w:rFonts w:ascii="Arial Narrow" w:hAnsi="Arial Narrow" w:cs="Tahoma"/>
          <w:sz w:val="22"/>
        </w:rPr>
        <w:t xml:space="preserve"> was 812 KM, while average monthly gross wage was 1,309 KM. </w:t>
      </w:r>
    </w:p>
    <w:p w:rsidR="00B82005" w:rsidRPr="00C419FF" w:rsidRDefault="00B8200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C419FF" w:rsidRDefault="0028625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  <w:lang w:val="sr-Latn-CS"/>
        </w:rPr>
        <w:t>Compared to January</w:t>
      </w:r>
      <w:r w:rsidR="00A80BB3" w:rsidRPr="00C419FF">
        <w:rPr>
          <w:rFonts w:ascii="Arial Narrow" w:hAnsi="Arial Narrow" w:cs="Tahoma"/>
          <w:sz w:val="22"/>
          <w:lang w:val="sr-Cyrl-CS"/>
        </w:rPr>
        <w:t xml:space="preserve"> 201</w:t>
      </w:r>
      <w:r>
        <w:rPr>
          <w:rFonts w:ascii="Arial Narrow" w:hAnsi="Arial Narrow" w:cs="Tahoma"/>
          <w:sz w:val="22"/>
        </w:rPr>
        <w:t>4</w:t>
      </w:r>
      <w:r w:rsidR="00A80BB3" w:rsidRPr="00C419FF">
        <w:rPr>
          <w:rFonts w:ascii="Arial Narrow" w:hAnsi="Arial Narrow" w:cs="Tahoma"/>
          <w:sz w:val="22"/>
          <w:lang w:val="sr-Latn-BA"/>
        </w:rPr>
        <w:t>,</w:t>
      </w:r>
      <w:r w:rsidR="00A80BB3" w:rsidRPr="00C419FF">
        <w:rPr>
          <w:rFonts w:ascii="Arial Narrow" w:hAnsi="Arial Narrow" w:cs="Tahoma"/>
          <w:sz w:val="22"/>
          <w:lang w:val="sr-Cyrl-BA"/>
        </w:rPr>
        <w:t xml:space="preserve"> </w:t>
      </w:r>
      <w:r>
        <w:rPr>
          <w:rFonts w:ascii="Arial Narrow" w:hAnsi="Arial Narrow" w:cs="Tahoma"/>
          <w:sz w:val="22"/>
        </w:rPr>
        <w:t>average net wage paid in January</w:t>
      </w:r>
      <w:r w:rsidR="00A80BB3"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>
        <w:rPr>
          <w:rFonts w:ascii="Arial Narrow" w:hAnsi="Arial Narrow" w:cs="Tahoma"/>
          <w:sz w:val="22"/>
        </w:rPr>
        <w:t xml:space="preserve"> was really 1.6% higher, while compared to December 2014 it was really 2.5% lower. </w:t>
      </w:r>
      <w:r w:rsidR="00A80BB3" w:rsidRPr="00C419F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C419FF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DA7549" w:rsidRDefault="00DA7549" w:rsidP="00B8200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decrease in the average net wage in January 2015, compared to December 2014, occurred mainly due to </w:t>
      </w:r>
      <w:r w:rsidR="00540AFB">
        <w:rPr>
          <w:rFonts w:ascii="Arial Narrow" w:hAnsi="Arial Narrow" w:cs="Tahoma"/>
          <w:sz w:val="22"/>
          <w:szCs w:val="22"/>
        </w:rPr>
        <w:t>a</w:t>
      </w:r>
      <w:r>
        <w:rPr>
          <w:rFonts w:ascii="Arial Narrow" w:hAnsi="Arial Narrow" w:cs="Tahoma"/>
          <w:sz w:val="22"/>
          <w:szCs w:val="22"/>
        </w:rPr>
        <w:t xml:space="preserve"> large number of entities that had no payments during January</w:t>
      </w:r>
      <w:r w:rsidR="00540AFB">
        <w:rPr>
          <w:rFonts w:ascii="Arial Narrow" w:hAnsi="Arial Narrow" w:cs="Tahoma"/>
          <w:sz w:val="22"/>
          <w:szCs w:val="22"/>
        </w:rPr>
        <w:t xml:space="preserve">, which have high average wages and employ a significant number of workers. </w:t>
      </w:r>
    </w:p>
    <w:p w:rsidR="00E33D1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</w:rPr>
      </w:pPr>
    </w:p>
    <w:p w:rsidR="00540AFB" w:rsidRPr="00540AFB" w:rsidRDefault="00540AF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szCs w:val="22"/>
        </w:rPr>
        <w:t xml:space="preserve">In January 2015, the highest average net wage, by section of activities, was paid in the section </w:t>
      </w:r>
      <w:r w:rsidRPr="000F6665">
        <w:rPr>
          <w:rFonts w:ascii="Arial Narrow" w:hAnsi="Arial Narrow" w:cs="Tahoma"/>
          <w:i/>
          <w:sz w:val="22"/>
        </w:rPr>
        <w:t xml:space="preserve">Financial and insurance activities </w:t>
      </w:r>
      <w:r w:rsidRPr="000F6665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1,207 KM. On the other hand, the lowest </w:t>
      </w:r>
      <w:r w:rsidR="00B50882">
        <w:rPr>
          <w:rFonts w:ascii="Arial Narrow" w:hAnsi="Arial Narrow" w:cs="Tahoma"/>
          <w:sz w:val="22"/>
        </w:rPr>
        <w:t xml:space="preserve">average net </w:t>
      </w:r>
      <w:r>
        <w:rPr>
          <w:rFonts w:ascii="Arial Narrow" w:hAnsi="Arial Narrow" w:cs="Tahoma"/>
          <w:sz w:val="22"/>
        </w:rPr>
        <w:t xml:space="preserve">wage in January 2015 was the one paid in the </w:t>
      </w:r>
      <w:r w:rsidRPr="000F6665">
        <w:rPr>
          <w:rFonts w:ascii="Arial Narrow" w:hAnsi="Arial Narrow" w:cs="Tahoma"/>
          <w:sz w:val="22"/>
        </w:rPr>
        <w:t xml:space="preserve">section </w:t>
      </w:r>
      <w:r w:rsidRPr="000F6665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 w:rsidRPr="00540AFB">
        <w:rPr>
          <w:rFonts w:ascii="Arial Narrow" w:hAnsi="Arial Narrow" w:cs="Tahoma"/>
          <w:sz w:val="22"/>
        </w:rPr>
        <w:t xml:space="preserve">510 KM. </w:t>
      </w: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540AFB" w:rsidRDefault="00540AFB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In January 2015, compared to December 2014, the highest nominal increase in net wages was redacted in the section </w:t>
      </w:r>
      <w:proofErr w:type="gramStart"/>
      <w:r w:rsidRPr="00540AFB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540AFB">
        <w:rPr>
          <w:rFonts w:ascii="Arial Narrow" w:hAnsi="Arial Narrow" w:cs="Tahoma"/>
          <w:i/>
          <w:sz w:val="22"/>
          <w:szCs w:val="22"/>
        </w:rPr>
        <w:t xml:space="preserve"> service activities</w:t>
      </w:r>
      <w:r>
        <w:rPr>
          <w:rFonts w:ascii="Arial Narrow" w:hAnsi="Arial Narrow" w:cs="Tahoma"/>
          <w:sz w:val="22"/>
          <w:szCs w:val="22"/>
        </w:rPr>
        <w:t xml:space="preserve"> 3.2%, followed by </w:t>
      </w:r>
      <w:r w:rsidRPr="00540AFB">
        <w:rPr>
          <w:rFonts w:ascii="Arial Narrow" w:hAnsi="Arial Narrow" w:cs="Tahoma"/>
          <w:i/>
          <w:sz w:val="22"/>
          <w:szCs w:val="22"/>
        </w:rPr>
        <w:t>Transport and warehousing</w:t>
      </w:r>
      <w:r>
        <w:rPr>
          <w:rFonts w:ascii="Arial Narrow" w:hAnsi="Arial Narrow" w:cs="Tahoma"/>
          <w:sz w:val="22"/>
          <w:szCs w:val="22"/>
        </w:rPr>
        <w:t xml:space="preserve"> 2.9% and </w:t>
      </w:r>
      <w:r w:rsidRPr="00540AFB">
        <w:rPr>
          <w:rFonts w:ascii="Arial Narrow" w:hAnsi="Arial Narrow" w:cs="Tahoma"/>
          <w:i/>
          <w:sz w:val="22"/>
          <w:szCs w:val="22"/>
        </w:rPr>
        <w:t>Manufacturing</w:t>
      </w:r>
      <w:r>
        <w:rPr>
          <w:rFonts w:ascii="Arial Narrow" w:hAnsi="Arial Narrow" w:cs="Tahoma"/>
          <w:sz w:val="22"/>
          <w:szCs w:val="22"/>
        </w:rPr>
        <w:t xml:space="preserve"> 0.8%. </w:t>
      </w: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40AFB" w:rsidRDefault="00540AFB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540AFB">
        <w:rPr>
          <w:rFonts w:ascii="Arial Narrow" w:hAnsi="Arial Narrow" w:cs="Tahoma"/>
          <w:i/>
          <w:sz w:val="22"/>
          <w:szCs w:val="22"/>
        </w:rPr>
        <w:t>Information and communication</w:t>
      </w:r>
      <w:r>
        <w:rPr>
          <w:rFonts w:ascii="Arial Narrow" w:hAnsi="Arial Narrow" w:cs="Tahoma"/>
          <w:sz w:val="22"/>
          <w:szCs w:val="22"/>
        </w:rPr>
        <w:t xml:space="preserve"> 33.5%, </w:t>
      </w:r>
      <w:r w:rsidRPr="00540AFB"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11.3% and </w:t>
      </w:r>
      <w:r w:rsidRPr="00540AFB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7.6%,</w:t>
      </w:r>
    </w:p>
    <w:p w:rsidR="00396802" w:rsidRPr="00C419F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419FF">
        <w:rPr>
          <w:rFonts w:ascii="Tahoma" w:hAnsi="Tahoma" w:cs="Tahoma"/>
          <w:i/>
          <w:sz w:val="14"/>
          <w:lang w:val="sr-Cyrl-CS"/>
        </w:rPr>
        <w:t xml:space="preserve"> </w:t>
      </w:r>
      <w:r w:rsidRPr="00C419FF">
        <w:rPr>
          <w:rFonts w:ascii="Tahoma" w:hAnsi="Tahoma" w:cs="Tahoma"/>
          <w:sz w:val="14"/>
          <w:lang w:val="sr-Cyrl-CS"/>
        </w:rPr>
        <w:t xml:space="preserve">   </w:t>
      </w:r>
      <w:r w:rsidRPr="00C419FF">
        <w:rPr>
          <w:rFonts w:ascii="Tahoma" w:hAnsi="Tahoma" w:cs="Tahoma"/>
          <w:sz w:val="14"/>
          <w:lang w:val="sr-Latn-CS"/>
        </w:rPr>
        <w:tab/>
      </w:r>
      <w:r w:rsidRPr="00C419FF">
        <w:rPr>
          <w:rFonts w:ascii="Tahoma" w:hAnsi="Tahoma" w:cs="Tahoma"/>
          <w:sz w:val="14"/>
          <w:lang w:val="sr-Latn-CS"/>
        </w:rPr>
        <w:tab/>
      </w:r>
      <w:r w:rsidRPr="00C419FF">
        <w:rPr>
          <w:rFonts w:ascii="Tahoma" w:hAnsi="Tahoma" w:cs="Tahoma"/>
          <w:sz w:val="14"/>
        </w:rPr>
        <w:t xml:space="preserve">            </w:t>
      </w:r>
      <w:r w:rsidR="00F85AAC" w:rsidRPr="00C419FF">
        <w:rPr>
          <w:rFonts w:ascii="Tahoma" w:hAnsi="Tahoma" w:cs="Tahoma"/>
          <w:sz w:val="14"/>
          <w:lang w:val="sr-Cyrl-BA"/>
        </w:rPr>
        <w:t xml:space="preserve">   </w:t>
      </w:r>
      <w:r w:rsidRPr="00C419F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C419FF" w:rsidRDefault="00F85AAC" w:rsidP="00E33D13">
      <w:pPr>
        <w:jc w:val="center"/>
        <w:rPr>
          <w:rFonts w:ascii="Tahoma" w:hAnsi="Tahoma" w:cs="Tahoma"/>
        </w:rPr>
      </w:pPr>
      <w:r w:rsidRPr="00C419F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1029169</wp:posOffset>
            </wp:positionH>
            <wp:positionV relativeFrom="paragraph">
              <wp:posOffset>1942078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C419FF">
        <w:rPr>
          <w:rFonts w:ascii="Tahoma" w:hAnsi="Tahoma" w:cs="Tahoma"/>
          <w:szCs w:val="18"/>
        </w:rPr>
        <w:t xml:space="preserve"> </w:t>
      </w:r>
      <w:r w:rsidR="0032724B" w:rsidRPr="00C419FF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C419FF">
        <w:rPr>
          <w:rFonts w:ascii="Tahoma" w:hAnsi="Tahoma" w:cs="Tahoma"/>
          <w:szCs w:val="18"/>
        </w:rPr>
        <w:t xml:space="preserve">  </w:t>
      </w:r>
    </w:p>
    <w:p w:rsidR="00E33D13" w:rsidRPr="00C419F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86828" w:rsidRDefault="00D86828" w:rsidP="00E33D13">
      <w:pPr>
        <w:jc w:val="center"/>
        <w:outlineLvl w:val="0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E33D13" w:rsidRPr="00C419FF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E33D13" w:rsidRPr="00C419FF">
        <w:rPr>
          <w:rFonts w:ascii="Arial Narrow" w:hAnsi="Arial Narrow" w:cs="Tahoma"/>
          <w:sz w:val="22"/>
          <w:szCs w:val="22"/>
          <w:lang w:val="sr-Cyrl-CS"/>
        </w:rPr>
        <w:t>.</w:t>
      </w:r>
      <w:proofErr w:type="gramEnd"/>
      <w:r w:rsidR="00E33D13" w:rsidRPr="00C419F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Average net wages of employed persons by month</w:t>
      </w:r>
    </w:p>
    <w:p w:rsidR="00BE051D" w:rsidRPr="004B1F2F" w:rsidRDefault="00BE051D">
      <w:pPr>
        <w:rPr>
          <w:rFonts w:ascii="Tahoma" w:hAnsi="Tahoma" w:cs="Tahoma"/>
          <w:lang w:val="sr-Cyrl-BA"/>
        </w:rPr>
      </w:pPr>
    </w:p>
    <w:p w:rsidR="00943369" w:rsidRDefault="00943369">
      <w:pPr>
        <w:rPr>
          <w:rFonts w:ascii="Arial Narrow" w:hAnsi="Arial Narrow" w:cs="Tahoma"/>
          <w:lang w:val="sr-Cyrl-BA"/>
        </w:rPr>
      </w:pPr>
    </w:p>
    <w:p w:rsidR="00082DA2" w:rsidRDefault="00082DA2">
      <w:pPr>
        <w:rPr>
          <w:rFonts w:ascii="Arial Narrow" w:hAnsi="Arial Narrow" w:cs="Tahoma"/>
          <w:lang w:val="sr-Latn-BA"/>
        </w:rPr>
      </w:pPr>
    </w:p>
    <w:p w:rsidR="000134F3" w:rsidRPr="000134F3" w:rsidRDefault="000134F3">
      <w:pPr>
        <w:rPr>
          <w:rFonts w:ascii="Arial Narrow" w:hAnsi="Arial Narrow" w:cs="Tahoma"/>
          <w:lang w:val="sr-Latn-BA"/>
        </w:rPr>
      </w:pPr>
    </w:p>
    <w:p w:rsidR="000134F3" w:rsidRPr="00DA7549" w:rsidRDefault="00DA7549" w:rsidP="000134F3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 w:rsidR="000134F3"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Cyrl-BA"/>
        </w:rPr>
        <w:t>-0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0134F3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="000134F3" w:rsidRPr="008028C6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 January 2015</w:t>
      </w:r>
    </w:p>
    <w:p w:rsidR="000134F3" w:rsidRPr="008028C6" w:rsidRDefault="00DA7549" w:rsidP="000134F3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0134F3"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January</w:t>
      </w:r>
      <w:r w:rsidR="000134F3">
        <w:rPr>
          <w:rFonts w:ascii="Arial Narrow" w:hAnsi="Arial Narrow" w:cs="Tahoma"/>
          <w:b/>
          <w:sz w:val="30"/>
          <w:szCs w:val="30"/>
          <w:lang w:val="sr-Cyrl-BA"/>
        </w:rPr>
        <w:t xml:space="preserve"> 2015</w:t>
      </w:r>
      <w:r w:rsidR="000134F3" w:rsidRPr="008028C6">
        <w:rPr>
          <w:rFonts w:ascii="Arial Narrow" w:hAnsi="Arial Narrow" w:cs="Tahoma"/>
          <w:b/>
          <w:sz w:val="30"/>
          <w:szCs w:val="30"/>
          <w:lang w:val="sr-Cyrl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January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2014) -1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0134F3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="000134F3" w:rsidRPr="008028C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0134F3" w:rsidRDefault="000134F3" w:rsidP="000134F3">
      <w:pPr>
        <w:spacing w:after="120"/>
        <w:jc w:val="both"/>
        <w:rPr>
          <w:rFonts w:ascii="Tahoma" w:hAnsi="Tahoma" w:cs="Tahoma"/>
          <w:lang w:val="sr-Cyrl-BA"/>
        </w:rPr>
      </w:pPr>
    </w:p>
    <w:p w:rsidR="0001753F" w:rsidRDefault="0001753F" w:rsidP="0001753F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0F6665"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 w:rsidRPr="000F6665">
        <w:rPr>
          <w:rFonts w:ascii="Arial Narrow" w:hAnsi="Arial Narrow" w:cs="Tahoma"/>
          <w:sz w:val="22"/>
          <w:szCs w:val="22"/>
        </w:rPr>
        <w:t>Republika</w:t>
      </w:r>
      <w:proofErr w:type="spellEnd"/>
      <w:r w:rsidRPr="000F666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0F6665">
        <w:rPr>
          <w:rFonts w:ascii="Arial Narrow" w:hAnsi="Arial Narrow" w:cs="Tahoma"/>
          <w:sz w:val="22"/>
          <w:szCs w:val="22"/>
        </w:rPr>
        <w:t>Srpska</w:t>
      </w:r>
      <w:proofErr w:type="spellEnd"/>
      <w:r w:rsidRPr="000F6665">
        <w:rPr>
          <w:rFonts w:ascii="Arial Narrow" w:hAnsi="Arial Narrow" w:cs="Tahoma"/>
          <w:sz w:val="22"/>
          <w:szCs w:val="22"/>
        </w:rPr>
        <w:t xml:space="preserve">, measured with the consumer price index, in </w:t>
      </w:r>
      <w:r>
        <w:rPr>
          <w:rFonts w:ascii="Arial Narrow" w:hAnsi="Arial Narrow" w:cs="Tahoma"/>
          <w:sz w:val="22"/>
          <w:szCs w:val="22"/>
        </w:rPr>
        <w:t>January 2015</w:t>
      </w:r>
      <w:r w:rsidRPr="000F6665">
        <w:rPr>
          <w:rFonts w:ascii="Arial Narrow" w:hAnsi="Arial Narrow" w:cs="Tahoma"/>
          <w:sz w:val="22"/>
          <w:szCs w:val="22"/>
        </w:rPr>
        <w:t>, compared to the previou</w:t>
      </w:r>
      <w:r>
        <w:rPr>
          <w:rFonts w:ascii="Arial Narrow" w:hAnsi="Arial Narrow" w:cs="Tahoma"/>
          <w:sz w:val="22"/>
          <w:szCs w:val="22"/>
        </w:rPr>
        <w:t>s month, were on the average 0.4</w:t>
      </w:r>
      <w:r w:rsidRPr="000F6665">
        <w:rPr>
          <w:rFonts w:ascii="Arial Narrow" w:hAnsi="Arial Narrow" w:cs="Tahoma"/>
          <w:sz w:val="22"/>
          <w:szCs w:val="22"/>
        </w:rPr>
        <w:t xml:space="preserve">% lower, while at the annual level they were </w:t>
      </w:r>
      <w:r>
        <w:rPr>
          <w:rFonts w:ascii="Arial Narrow" w:hAnsi="Arial Narrow" w:cs="Tahoma"/>
          <w:sz w:val="22"/>
          <w:szCs w:val="22"/>
        </w:rPr>
        <w:t>1.3</w:t>
      </w:r>
      <w:r w:rsidRPr="000F6665">
        <w:rPr>
          <w:rFonts w:ascii="Arial Narrow" w:hAnsi="Arial Narrow" w:cs="Tahoma"/>
          <w:sz w:val="22"/>
          <w:szCs w:val="22"/>
        </w:rPr>
        <w:t xml:space="preserve">% lower. </w:t>
      </w:r>
    </w:p>
    <w:p w:rsidR="0001753F" w:rsidRPr="000F6665" w:rsidRDefault="0001753F" w:rsidP="0001753F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six divisions, a decrease in five divisions, while prices in one division remained on the average at the same level. </w:t>
      </w:r>
    </w:p>
    <w:p w:rsidR="0001753F" w:rsidRDefault="0001753F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increase was recorded in the division </w:t>
      </w:r>
      <w:r w:rsidRPr="0001753F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 (2.6%), due to higher prices of cigarettes, as a result of increased excise taxes on tobacco products introduced in January 2015.</w:t>
      </w:r>
    </w:p>
    <w:p w:rsidR="0001753F" w:rsidRDefault="0001753F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An increase in prices was also recorded in the division </w:t>
      </w:r>
      <w:r w:rsidRPr="0001753F">
        <w:rPr>
          <w:rFonts w:ascii="Arial Narrow" w:hAnsi="Arial Narrow" w:cs="Tahoma"/>
          <w:i/>
          <w:sz w:val="22"/>
        </w:rPr>
        <w:t>Food and non-alcoholic beverages</w:t>
      </w:r>
      <w:r>
        <w:rPr>
          <w:rFonts w:ascii="Arial Narrow" w:hAnsi="Arial Narrow" w:cs="Tahoma"/>
          <w:sz w:val="22"/>
        </w:rPr>
        <w:t xml:space="preserve">, due to higher (seasonal) prices of vegetables (6.2%) and </w:t>
      </w:r>
      <w:r w:rsidR="0027182E">
        <w:rPr>
          <w:rFonts w:ascii="Arial Narrow" w:hAnsi="Arial Narrow" w:cs="Tahoma"/>
          <w:sz w:val="22"/>
        </w:rPr>
        <w:t xml:space="preserve">fruit (3.3%) and as a result of increased purchase prices of coffee in the group non-alcoholic beverages (2.7%) and a slight increase in the group of products spices, salt and food seasonings (1.5%). </w:t>
      </w:r>
    </w:p>
    <w:p w:rsidR="0027182E" w:rsidRDefault="0027182E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An increase in prices by 0.7% in the division </w:t>
      </w:r>
      <w:r w:rsidRPr="0027182E">
        <w:rPr>
          <w:rFonts w:ascii="Arial Narrow" w:hAnsi="Arial Narrow" w:cs="Tahoma"/>
          <w:i/>
          <w:sz w:val="22"/>
        </w:rPr>
        <w:t>Housing</w:t>
      </w:r>
      <w:r>
        <w:rPr>
          <w:rFonts w:ascii="Arial Narrow" w:hAnsi="Arial Narrow" w:cs="Tahoma"/>
          <w:sz w:val="22"/>
        </w:rPr>
        <w:t xml:space="preserve"> occurred due to higher prices in the group water supply and other municipal services (2.6%). </w:t>
      </w:r>
    </w:p>
    <w:p w:rsidR="0027182E" w:rsidRDefault="0027182E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division </w:t>
      </w:r>
      <w:r w:rsidRPr="0027182E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, an increase in prices was recorded in the group pharmaceutical products, by 0.7%, due to higher purchase prices of a small number of </w:t>
      </w:r>
      <w:r w:rsidR="002901FC">
        <w:rPr>
          <w:rFonts w:ascii="Arial Narrow" w:hAnsi="Arial Narrow" w:cs="Tahoma"/>
          <w:sz w:val="22"/>
        </w:rPr>
        <w:t>medicaments</w:t>
      </w:r>
      <w:r>
        <w:rPr>
          <w:rFonts w:ascii="Arial Narrow" w:hAnsi="Arial Narrow" w:cs="Tahoma"/>
          <w:sz w:val="22"/>
        </w:rPr>
        <w:t xml:space="preserve">. Higher prices were also recorded in the division </w:t>
      </w:r>
      <w:r w:rsidRPr="0027182E">
        <w:rPr>
          <w:rFonts w:ascii="Arial Narrow" w:hAnsi="Arial Narrow" w:cs="Tahoma"/>
          <w:i/>
          <w:sz w:val="22"/>
        </w:rPr>
        <w:t>Restaurants and hotels</w:t>
      </w:r>
      <w:r>
        <w:rPr>
          <w:rFonts w:ascii="Arial Narrow" w:hAnsi="Arial Narrow" w:cs="Tahoma"/>
          <w:sz w:val="22"/>
        </w:rPr>
        <w:t xml:space="preserve">, in the group accommodation services (0.8%), and in the division </w:t>
      </w:r>
      <w:proofErr w:type="gramStart"/>
      <w:r w:rsidRPr="0027182E">
        <w:rPr>
          <w:rFonts w:ascii="Arial Narrow" w:hAnsi="Arial Narrow" w:cs="Tahoma"/>
          <w:i/>
          <w:sz w:val="22"/>
        </w:rPr>
        <w:t>Other</w:t>
      </w:r>
      <w:proofErr w:type="gramEnd"/>
      <w:r w:rsidRPr="0027182E">
        <w:rPr>
          <w:rFonts w:ascii="Arial Narrow" w:hAnsi="Arial Narrow" w:cs="Tahoma"/>
          <w:i/>
          <w:sz w:val="22"/>
        </w:rPr>
        <w:t xml:space="preserve"> goods and services</w:t>
      </w:r>
      <w:r>
        <w:rPr>
          <w:rFonts w:ascii="Arial Narrow" w:hAnsi="Arial Narrow" w:cs="Tahoma"/>
          <w:sz w:val="22"/>
        </w:rPr>
        <w:t xml:space="preserve">, in the group of personal care products (0.2%). 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</w:p>
    <w:p w:rsidR="000134F3" w:rsidRPr="00C419FF" w:rsidRDefault="0027182E" w:rsidP="000134F3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Arial Narrow" w:hAnsi="Arial Narrow" w:cs="Tahoma"/>
          <w:sz w:val="22"/>
        </w:rPr>
        <w:t xml:space="preserve">In the division </w:t>
      </w:r>
      <w:r w:rsidRPr="0027182E">
        <w:rPr>
          <w:rFonts w:ascii="Arial Narrow" w:hAnsi="Arial Narrow" w:cs="Tahoma"/>
          <w:i/>
          <w:sz w:val="22"/>
        </w:rPr>
        <w:t>Education</w:t>
      </w:r>
      <w:r>
        <w:rPr>
          <w:rFonts w:ascii="Arial Narrow" w:hAnsi="Arial Narrow" w:cs="Tahoma"/>
          <w:sz w:val="22"/>
        </w:rPr>
        <w:t xml:space="preserve"> prices remained on the average at the same level.</w:t>
      </w:r>
      <w:r w:rsidR="000134F3" w:rsidRPr="00C419FF">
        <w:rPr>
          <w:rFonts w:ascii="Arial Narrow" w:hAnsi="Arial Narrow" w:cs="Tahoma"/>
          <w:i/>
          <w:sz w:val="22"/>
          <w:lang w:val="sr-Cyrl-BA"/>
        </w:rPr>
        <w:t xml:space="preserve"> 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</w:p>
    <w:p w:rsidR="0027182E" w:rsidRDefault="0027182E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lowest prices in January were recorded in the divisions </w:t>
      </w:r>
      <w:r w:rsidR="00070F95" w:rsidRPr="00070F95">
        <w:rPr>
          <w:rFonts w:ascii="Arial Narrow" w:hAnsi="Arial Narrow" w:cs="Tahoma"/>
          <w:i/>
          <w:sz w:val="22"/>
        </w:rPr>
        <w:t>Transport</w:t>
      </w:r>
      <w:r w:rsidR="00070F95">
        <w:rPr>
          <w:rFonts w:ascii="Arial Narrow" w:hAnsi="Arial Narrow" w:cs="Tahoma"/>
          <w:sz w:val="22"/>
        </w:rPr>
        <w:t xml:space="preserve"> and </w:t>
      </w:r>
      <w:r w:rsidR="00070F95" w:rsidRPr="00070F95">
        <w:rPr>
          <w:rFonts w:ascii="Arial Narrow" w:hAnsi="Arial Narrow" w:cs="Tahoma"/>
          <w:i/>
          <w:sz w:val="22"/>
        </w:rPr>
        <w:t>Clothing and footwear</w:t>
      </w:r>
      <w:r w:rsidR="00070F95">
        <w:rPr>
          <w:rFonts w:ascii="Arial Narrow" w:hAnsi="Arial Narrow" w:cs="Tahoma"/>
          <w:sz w:val="22"/>
        </w:rPr>
        <w:t xml:space="preserve"> (decrease by 4.4%). The decreasing trend in purchase prices of fuels has continued, with a decrease by 8.9% in the group fuels and lubricants, as well as the trend of seasonal discount prices of clothes (4.5%) and footwear (4.4%). </w:t>
      </w:r>
    </w:p>
    <w:p w:rsidR="00204FDF" w:rsidRDefault="00204FDF" w:rsidP="000134F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prices was also recorded in the division </w:t>
      </w:r>
      <w:r w:rsidRPr="00204FDF">
        <w:rPr>
          <w:rFonts w:ascii="Arial Narrow" w:hAnsi="Arial Narrow" w:cs="Tahoma"/>
          <w:i/>
          <w:sz w:val="22"/>
        </w:rPr>
        <w:t>Communication</w:t>
      </w:r>
      <w:r>
        <w:rPr>
          <w:rFonts w:ascii="Arial Narrow" w:hAnsi="Arial Narrow" w:cs="Tahoma"/>
          <w:sz w:val="22"/>
        </w:rPr>
        <w:t xml:space="preserve"> (1.1%), due to the new, revised pricelist of landline telephony tariffs, and in the division </w:t>
      </w:r>
      <w:r w:rsidRPr="00204FDF">
        <w:rPr>
          <w:rFonts w:ascii="Arial Narrow" w:hAnsi="Arial Narrow" w:cs="Tahoma"/>
          <w:i/>
          <w:sz w:val="22"/>
        </w:rPr>
        <w:t>Furnishing and other equipment</w:t>
      </w:r>
      <w:r>
        <w:rPr>
          <w:rFonts w:ascii="Arial Narrow" w:hAnsi="Arial Narrow" w:cs="Tahoma"/>
          <w:sz w:val="22"/>
        </w:rPr>
        <w:t xml:space="preserve"> (0.3%), due to lower prices in the group products for house cleaning and maintenance. A slight decrease in prices by 0.1% was recorded in the division </w:t>
      </w:r>
      <w:r w:rsidRPr="00204FDF">
        <w:rPr>
          <w:rFonts w:ascii="Arial Narrow" w:hAnsi="Arial Narrow" w:cs="Tahoma"/>
          <w:i/>
          <w:sz w:val="22"/>
        </w:rPr>
        <w:t>Recreation and culture</w:t>
      </w:r>
      <w:r>
        <w:rPr>
          <w:rFonts w:ascii="Arial Narrow" w:hAnsi="Arial Narrow" w:cs="Tahoma"/>
          <w:sz w:val="22"/>
        </w:rPr>
        <w:t xml:space="preserve">. </w:t>
      </w:r>
    </w:p>
    <w:p w:rsidR="00A40F41" w:rsidRPr="00A40F41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EE7D50" w:rsidRPr="00502EDF" w:rsidRDefault="00DA7549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Export</w:t>
      </w:r>
      <w:r w:rsidR="00EE7D50" w:rsidRPr="00D7222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hr-HR"/>
        </w:rPr>
        <w:t>(January</w:t>
      </w:r>
      <w:r w:rsidR="00EE7D50" w:rsidRPr="00D72227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CS"/>
        </w:rPr>
        <w:t>5</w:t>
      </w:r>
      <w:r>
        <w:rPr>
          <w:rFonts w:ascii="Arial Narrow" w:hAnsi="Arial Narrow" w:cs="Tahoma"/>
          <w:b/>
          <w:sz w:val="30"/>
          <w:szCs w:val="30"/>
          <w:lang w:val="hr-HR"/>
        </w:rPr>
        <w:t>/January</w:t>
      </w:r>
      <w:r w:rsidR="00EE7D50" w:rsidRPr="00D72227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E7D50" w:rsidRPr="00D72227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>
        <w:rPr>
          <w:rFonts w:ascii="Arial Narrow" w:hAnsi="Arial Narrow" w:cs="Tahoma"/>
          <w:b/>
          <w:sz w:val="30"/>
          <w:szCs w:val="30"/>
        </w:rPr>
        <w:t>decreased by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13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="00EE7D50" w:rsidRPr="00D72227">
        <w:rPr>
          <w:rFonts w:ascii="Arial Narrow" w:hAnsi="Arial Narrow" w:cs="Tahoma"/>
          <w:b/>
          <w:sz w:val="30"/>
          <w:szCs w:val="30"/>
          <w:lang w:val="ru-RU"/>
        </w:rPr>
        <w:t>%</w:t>
      </w:r>
      <w:r w:rsidR="00502EDF">
        <w:rPr>
          <w:rFonts w:ascii="Arial Narrow" w:hAnsi="Arial Narrow" w:cs="Tahoma"/>
          <w:b/>
          <w:sz w:val="30"/>
          <w:szCs w:val="30"/>
          <w:lang w:val="sr-Latn-BA"/>
        </w:rPr>
        <w:t xml:space="preserve">, </w:t>
      </w:r>
      <w:r>
        <w:rPr>
          <w:rFonts w:ascii="Arial Narrow" w:hAnsi="Arial Narrow" w:cs="Tahoma"/>
          <w:b/>
          <w:sz w:val="30"/>
          <w:szCs w:val="30"/>
          <w:lang w:val="sr-Latn-BA"/>
        </w:rPr>
        <w:t>import decreased by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11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502EDF">
        <w:rPr>
          <w:rFonts w:ascii="Arial Narrow" w:hAnsi="Arial Narrow" w:cs="Tahoma"/>
          <w:b/>
          <w:sz w:val="30"/>
          <w:szCs w:val="30"/>
          <w:lang w:val="sr-Cyrl-BA"/>
        </w:rPr>
        <w:t>1%</w:t>
      </w:r>
    </w:p>
    <w:p w:rsidR="00EE7D50" w:rsidRPr="00D72227" w:rsidRDefault="00DA7549" w:rsidP="00EE7D50">
      <w:pPr>
        <w:rPr>
          <w:rFonts w:ascii="Arial Narrow" w:hAnsi="Arial Narrow" w:cs="Tahoma"/>
          <w:b/>
          <w:sz w:val="28"/>
          <w:szCs w:val="26"/>
          <w:lang w:val="sr-Cyrl-CS"/>
        </w:rPr>
      </w:pPr>
      <w:r>
        <w:rPr>
          <w:rFonts w:ascii="Arial Narrow" w:hAnsi="Arial Narrow" w:cs="Tahoma"/>
          <w:b/>
          <w:sz w:val="28"/>
          <w:szCs w:val="26"/>
        </w:rPr>
        <w:t>Coverage of import with export</w:t>
      </w:r>
      <w:r w:rsidR="00EE7D50" w:rsidRPr="00D72227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  <w:szCs w:val="26"/>
        </w:rPr>
        <w:t>in January</w:t>
      </w:r>
      <w:r>
        <w:rPr>
          <w:rFonts w:ascii="Arial Narrow" w:hAnsi="Arial Narrow" w:cs="Tahoma"/>
          <w:b/>
          <w:sz w:val="28"/>
          <w:szCs w:val="26"/>
          <w:lang w:val="sr-Cyrl-BA"/>
        </w:rPr>
        <w:t xml:space="preserve"> 2015</w:t>
      </w:r>
      <w:r w:rsidR="00EE7D50" w:rsidRPr="00D72227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="00EE7D50" w:rsidRPr="00D7222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66520D" w:rsidRPr="00D72227">
        <w:rPr>
          <w:rFonts w:ascii="Arial Narrow" w:hAnsi="Arial Narrow" w:cs="Tahoma"/>
          <w:b/>
          <w:sz w:val="28"/>
          <w:szCs w:val="26"/>
          <w:lang w:val="sr-Cyrl-CS"/>
        </w:rPr>
        <w:t>7</w:t>
      </w:r>
      <w:r w:rsidR="00EE7D50" w:rsidRPr="00D72227">
        <w:rPr>
          <w:rFonts w:ascii="Arial Narrow" w:hAnsi="Arial Narrow" w:cs="Tahoma"/>
          <w:b/>
          <w:sz w:val="28"/>
          <w:szCs w:val="26"/>
          <w:lang w:val="sr-Cyrl-BA"/>
        </w:rPr>
        <w:t>5</w:t>
      </w:r>
      <w:r>
        <w:rPr>
          <w:rFonts w:ascii="Arial Narrow" w:hAnsi="Arial Narrow" w:cs="Tahoma"/>
          <w:b/>
          <w:sz w:val="28"/>
          <w:szCs w:val="26"/>
        </w:rPr>
        <w:t>.</w:t>
      </w:r>
      <w:r w:rsidR="0066520D" w:rsidRPr="00D72227">
        <w:rPr>
          <w:rFonts w:ascii="Arial Narrow" w:hAnsi="Arial Narrow" w:cs="Tahoma"/>
          <w:b/>
          <w:sz w:val="28"/>
          <w:szCs w:val="26"/>
          <w:lang w:val="ru-RU"/>
        </w:rPr>
        <w:t>9</w:t>
      </w:r>
      <w:r w:rsidR="00EE7D50" w:rsidRPr="00D72227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7182E" w:rsidRDefault="0027182E" w:rsidP="00EE7D50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January 2015, </w:t>
      </w:r>
      <w:r w:rsidR="00F919E7">
        <w:rPr>
          <w:rFonts w:ascii="Arial Narrow" w:hAnsi="Arial Narrow" w:cs="Tahoma"/>
          <w:sz w:val="22"/>
        </w:rPr>
        <w:t xml:space="preserve">the value of export amounted to 170 million KM, which represented a decrease by 13.3% compared to January 2014. During the same period, the value of import was 223 million KM, which represented a decrease by 11.1 % compared to January 2014. The percentage of coverage of import with export in January 2015 was 75.9%. </w:t>
      </w:r>
    </w:p>
    <w:p w:rsidR="00EE7D50" w:rsidRDefault="00EE7D50" w:rsidP="00EE7D50">
      <w:pPr>
        <w:jc w:val="both"/>
        <w:rPr>
          <w:rFonts w:ascii="Arial Narrow" w:hAnsi="Arial Narrow" w:cs="Tahoma"/>
          <w:sz w:val="22"/>
        </w:rPr>
      </w:pPr>
    </w:p>
    <w:p w:rsidR="00F919E7" w:rsidRPr="00F919E7" w:rsidRDefault="00F919E7" w:rsidP="00EE7D50">
      <w:pPr>
        <w:jc w:val="both"/>
        <w:rPr>
          <w:rFonts w:ascii="Arial Narrow" w:hAnsi="Arial Narrow" w:cs="Tahoma"/>
          <w:sz w:val="22"/>
        </w:rPr>
      </w:pPr>
      <w:r w:rsidRPr="000F6665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0F6665">
        <w:rPr>
          <w:rFonts w:ascii="Arial Narrow" w:hAnsi="Arial Narrow" w:cs="Tahoma"/>
          <w:sz w:val="22"/>
        </w:rPr>
        <w:t>Republika</w:t>
      </w:r>
      <w:proofErr w:type="spellEnd"/>
      <w:r w:rsidRPr="000F6665">
        <w:rPr>
          <w:rFonts w:ascii="Arial Narrow" w:hAnsi="Arial Narrow" w:cs="Tahoma"/>
          <w:sz w:val="22"/>
        </w:rPr>
        <w:t xml:space="preserve"> </w:t>
      </w:r>
      <w:proofErr w:type="spellStart"/>
      <w:r w:rsidRPr="000F6665">
        <w:rPr>
          <w:rFonts w:ascii="Arial Narrow" w:hAnsi="Arial Narrow" w:cs="Tahoma"/>
          <w:sz w:val="22"/>
        </w:rPr>
        <w:t>Srpska</w:t>
      </w:r>
      <w:proofErr w:type="spellEnd"/>
      <w:r w:rsidRPr="000F6665">
        <w:rPr>
          <w:rFonts w:ascii="Arial Narrow" w:hAnsi="Arial Narrow" w:cs="Tahoma"/>
          <w:sz w:val="22"/>
        </w:rPr>
        <w:t>, in</w:t>
      </w:r>
      <w:r>
        <w:rPr>
          <w:rFonts w:ascii="Arial Narrow" w:hAnsi="Arial Narrow" w:cs="Tahoma"/>
          <w:sz w:val="22"/>
        </w:rPr>
        <w:t xml:space="preserve"> January 2015, the highest value of export was that of export to Italy, with 32 million KM or 19.0%, followed by Germany with 20 million or 11.9%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 </w:t>
      </w:r>
    </w:p>
    <w:p w:rsidR="00EE7D50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F919E7" w:rsidRPr="00F919E7" w:rsidRDefault="00F919E7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same month, the highest value of import was that of import from Serbia, with 41 million KM or 18.1%, followed by Italy with 36 million KM or 15.9%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EE7D50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F919E7" w:rsidRPr="002901FC" w:rsidRDefault="00F919E7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January 2015, the highest share in export was that of </w:t>
      </w:r>
      <w:r w:rsidR="002901FC">
        <w:rPr>
          <w:rFonts w:ascii="Arial Narrow" w:hAnsi="Arial Narrow" w:cs="Tahoma"/>
          <w:sz w:val="22"/>
          <w:lang w:val="sr-Cyrl-BA"/>
        </w:rPr>
        <w:t xml:space="preserve">artificial corundum, </w:t>
      </w:r>
      <w:proofErr w:type="spellStart"/>
      <w:r w:rsidR="002901FC">
        <w:rPr>
          <w:rFonts w:ascii="Arial Narrow" w:hAnsi="Arial Narrow" w:cs="Tahoma"/>
          <w:sz w:val="22"/>
        </w:rPr>
        <w:t>aluminium</w:t>
      </w:r>
      <w:proofErr w:type="spellEnd"/>
      <w:r w:rsidR="002901FC">
        <w:rPr>
          <w:rFonts w:ascii="Arial Narrow" w:hAnsi="Arial Narrow" w:cs="Tahoma"/>
          <w:sz w:val="22"/>
        </w:rPr>
        <w:t xml:space="preserve"> oxide and </w:t>
      </w:r>
      <w:proofErr w:type="spellStart"/>
      <w:r w:rsidR="002901FC">
        <w:rPr>
          <w:rFonts w:ascii="Arial Narrow" w:hAnsi="Arial Narrow" w:cs="Tahoma"/>
          <w:sz w:val="22"/>
        </w:rPr>
        <w:t>aluminium</w:t>
      </w:r>
      <w:proofErr w:type="spellEnd"/>
      <w:r w:rsidR="002901FC">
        <w:rPr>
          <w:rFonts w:ascii="Arial Narrow" w:hAnsi="Arial Narrow" w:cs="Tahoma"/>
          <w:sz w:val="22"/>
        </w:rPr>
        <w:t xml:space="preserve"> hydroxide with the total value of 10 million KM, which was 6.0% of the total export, while the highest share in import was that of medicaments with the total value of 9 million KM, which was 4.2% of the total import. </w:t>
      </w:r>
    </w:p>
    <w:p w:rsidR="00115CDB" w:rsidRPr="004B1F2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451451" w:rsidRPr="009430A7" w:rsidRDefault="00CC21F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CC21F0"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9.3pt;margin-top:4.7pt;width:61.05pt;height:19.75pt;z-index:251664384;mso-width-relative:margin;mso-height-relative:margin" stroked="f">
            <v:textbox style="mso-next-textbox:#_x0000_s1068">
              <w:txbxContent>
                <w:p w:rsidR="00F919E7" w:rsidRPr="000A1309" w:rsidRDefault="00F919E7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451451" w:rsidRPr="009430A7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9430A7" w:rsidRDefault="00CC21F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CC21F0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6.25pt;margin-top:196.1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919E7" w:rsidRPr="000A1309" w:rsidRDefault="00F919E7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CC21F0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6.55pt;margin-top:196.1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919E7" w:rsidRPr="000A1309" w:rsidRDefault="00F919E7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D44F8E" w:rsidRPr="00D44F8E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076702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3E2" w:rsidRPr="009430A7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9430A7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F04972" w:rsidRDefault="00F04972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Graph</w:t>
      </w:r>
      <w:r w:rsidR="00777348" w:rsidRPr="00502ED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98284F">
        <w:rPr>
          <w:rFonts w:ascii="Arial Narrow" w:hAnsi="Arial Narrow" w:cs="Tahoma"/>
          <w:sz w:val="22"/>
          <w:szCs w:val="22"/>
          <w:lang w:val="sr-Cyrl-CS"/>
        </w:rPr>
        <w:t>2</w:t>
      </w:r>
      <w:r w:rsidR="00777348" w:rsidRPr="00502EDF">
        <w:rPr>
          <w:rFonts w:ascii="Arial Narrow" w:hAnsi="Arial Narrow" w:cs="Tahoma"/>
          <w:sz w:val="22"/>
          <w:szCs w:val="22"/>
          <w:lang w:val="ru-RU"/>
        </w:rPr>
        <w:t>.</w:t>
      </w:r>
      <w:proofErr w:type="gramEnd"/>
      <w:r w:rsidR="00777348" w:rsidRPr="00502EDF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iCs/>
          <w:sz w:val="22"/>
          <w:szCs w:val="22"/>
        </w:rPr>
        <w:t>Export and import by month</w:t>
      </w:r>
    </w:p>
    <w:p w:rsidR="00115CDB" w:rsidRPr="009430A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430A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9062FA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00714" w:rsidRPr="000F6665" w:rsidRDefault="00700714" w:rsidP="00700714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0F6665">
              <w:rPr>
                <w:rFonts w:ascii="Arial Narrow" w:hAnsi="Arial Narrow" w:cs="Tahoma"/>
                <w:b/>
                <w:sz w:val="22"/>
              </w:rPr>
              <w:t xml:space="preserve">PREPARED BY: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00714" w:rsidRPr="000F6665" w:rsidRDefault="00700714" w:rsidP="007007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A44E14" w:rsidRPr="00700714" w:rsidRDefault="00700714" w:rsidP="00A44E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9E2A9A" w:rsidRPr="009062FA" w:rsidRDefault="00CC21F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2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700714" w:rsidRPr="000F6665" w:rsidRDefault="00700714" w:rsidP="007007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700714" w:rsidRPr="000F6665" w:rsidRDefault="00700714" w:rsidP="0070071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9E2A9A" w:rsidRPr="009062FA" w:rsidRDefault="00CC21F0" w:rsidP="0098284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00714" w:rsidRDefault="00700714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9E2A9A" w:rsidRPr="00F04972" w:rsidRDefault="00F04972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A62FE1" w:rsidRPr="009062FA" w:rsidRDefault="00CC21F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4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04972" w:rsidRDefault="00F04972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04972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F04972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F04972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CC21F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CC21F0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F04972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F6665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F04972" w:rsidRPr="000F6665" w:rsidRDefault="00F04972" w:rsidP="00F04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F04972" w:rsidRPr="000F6665" w:rsidRDefault="00F04972" w:rsidP="00F04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F04972" w:rsidRPr="000F6665" w:rsidRDefault="00F04972" w:rsidP="00F04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Banja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Luka,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F04972" w:rsidRPr="000F6665" w:rsidRDefault="00F04972" w:rsidP="00F04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F04972" w:rsidRPr="000F6665" w:rsidRDefault="00F04972" w:rsidP="00F04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Default="00F04972" w:rsidP="00F04972">
            <w:pPr>
              <w:jc w:val="center"/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5" w:history="1">
              <w:r w:rsidRPr="000F666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F04972" w:rsidRPr="004C20B5" w:rsidRDefault="00F04972" w:rsidP="00F04972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F04972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0F666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20B5" w:rsidRDefault="00CC21F0" w:rsidP="009E2A9A">
      <w:pPr>
        <w:rPr>
          <w:rFonts w:ascii="Tahoma" w:hAnsi="Tahoma" w:cs="Tahoma"/>
          <w:lang w:val="sr-Cyrl-BA"/>
        </w:rPr>
      </w:pPr>
      <w:r w:rsidRPr="00CC21F0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6"/>
      <w:footerReference w:type="default" r:id="rId17"/>
      <w:footerReference w:type="first" r:id="rId18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E7" w:rsidRDefault="00F919E7">
      <w:r>
        <w:separator/>
      </w:r>
    </w:p>
  </w:endnote>
  <w:endnote w:type="continuationSeparator" w:id="0">
    <w:p w:rsidR="00F919E7" w:rsidRDefault="00F9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E7" w:rsidRDefault="00F919E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919E7" w:rsidRPr="00175687" w:rsidRDefault="00F919E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02FEB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E7" w:rsidRDefault="00F919E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919E7" w:rsidRPr="00175687" w:rsidRDefault="00F919E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02FE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E7" w:rsidRDefault="00F919E7">
      <w:r>
        <w:separator/>
      </w:r>
    </w:p>
  </w:footnote>
  <w:footnote w:type="continuationSeparator" w:id="0">
    <w:p w:rsidR="00F919E7" w:rsidRDefault="00F9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919E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919E7" w:rsidRPr="00DD43EB" w:rsidRDefault="00F919E7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919E7" w:rsidRPr="00DD43EB" w:rsidRDefault="00F919E7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919E7" w:rsidRPr="005D5311" w:rsidRDefault="00F919E7" w:rsidP="00DD43E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D43EB">
            <w:rPr>
              <w:rFonts w:ascii="Arial Narrow" w:hAnsi="Arial Narrow" w:cs="Tahoma"/>
              <w:color w:val="0070C0"/>
              <w:sz w:val="18"/>
              <w:vertAlign w:val="superscript"/>
            </w:rPr>
            <w:t>rd</w:t>
          </w:r>
          <w:r>
            <w:rPr>
              <w:rFonts w:ascii="Arial Narrow" w:hAnsi="Arial Narrow" w:cs="Tahoma"/>
              <w:color w:val="0070C0"/>
              <w:sz w:val="18"/>
            </w:rPr>
            <w:t xml:space="preserve"> February 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2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919E7" w:rsidRDefault="00F919E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CC21F0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53F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0F95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B41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4FDF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82E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53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1FC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29A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2EDF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AFB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BC1"/>
    <w:rsid w:val="006F7E2D"/>
    <w:rsid w:val="00700714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4F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2FEB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882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19FF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1F0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828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549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3EB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F1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97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19E7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Grafikon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gnjicog\Downloads\za%20Graf%20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810</c:v>
                </c:pt>
                <c:pt idx="1">
                  <c:v>822</c:v>
                </c:pt>
                <c:pt idx="2">
                  <c:v>815</c:v>
                </c:pt>
                <c:pt idx="3">
                  <c:v>821</c:v>
                </c:pt>
                <c:pt idx="4">
                  <c:v>818</c:v>
                </c:pt>
                <c:pt idx="5">
                  <c:v>837</c:v>
                </c:pt>
                <c:pt idx="6">
                  <c:v>830</c:v>
                </c:pt>
                <c:pt idx="7">
                  <c:v>825</c:v>
                </c:pt>
                <c:pt idx="8">
                  <c:v>831</c:v>
                </c:pt>
                <c:pt idx="9">
                  <c:v>826</c:v>
                </c:pt>
                <c:pt idx="10">
                  <c:v>827</c:v>
                </c:pt>
                <c:pt idx="11">
                  <c:v>836</c:v>
                </c:pt>
                <c:pt idx="12">
                  <c:v>812</c:v>
                </c:pt>
              </c:numCache>
            </c:numRef>
          </c:val>
        </c:ser>
        <c:marker val="1"/>
        <c:axId val="39335424"/>
        <c:axId val="39336960"/>
      </c:lineChart>
      <c:catAx>
        <c:axId val="39335424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336960"/>
        <c:crosses val="autoZero"/>
        <c:auto val="1"/>
        <c:lblAlgn val="ctr"/>
        <c:lblOffset val="100"/>
      </c:catAx>
      <c:valAx>
        <c:axId val="39336960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3354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14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zaJan2015!$B$2:$N$2</c:f>
              <c:numCache>
                <c:formatCode>General</c:formatCode>
                <c:ptCount val="13"/>
                <c:pt idx="0">
                  <c:v>251372</c:v>
                </c:pt>
                <c:pt idx="1">
                  <c:v>426242</c:v>
                </c:pt>
                <c:pt idx="2">
                  <c:v>422057</c:v>
                </c:pt>
                <c:pt idx="3">
                  <c:v>347841</c:v>
                </c:pt>
                <c:pt idx="4">
                  <c:v>430360</c:v>
                </c:pt>
                <c:pt idx="5">
                  <c:v>414297</c:v>
                </c:pt>
                <c:pt idx="6">
                  <c:v>412801</c:v>
                </c:pt>
                <c:pt idx="7">
                  <c:v>444841</c:v>
                </c:pt>
                <c:pt idx="8">
                  <c:v>421218</c:v>
                </c:pt>
                <c:pt idx="9">
                  <c:v>508654</c:v>
                </c:pt>
                <c:pt idx="10">
                  <c:v>432236</c:v>
                </c:pt>
                <c:pt idx="11">
                  <c:v>434262</c:v>
                </c:pt>
                <c:pt idx="12">
                  <c:v>223470</c:v>
                </c:pt>
              </c:numCache>
            </c:numRef>
          </c:val>
        </c:ser>
        <c:ser>
          <c:idx val="1"/>
          <c:order val="1"/>
          <c:tx>
            <c:strRef>
              <c:f>zaJan2015!$A$3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zaJan2015!$B$3:$N$3</c:f>
              <c:numCache>
                <c:formatCode>General</c:formatCode>
                <c:ptCount val="13"/>
                <c:pt idx="0">
                  <c:v>195609</c:v>
                </c:pt>
                <c:pt idx="1">
                  <c:v>209705</c:v>
                </c:pt>
                <c:pt idx="2">
                  <c:v>229938</c:v>
                </c:pt>
                <c:pt idx="3">
                  <c:v>218972</c:v>
                </c:pt>
                <c:pt idx="4">
                  <c:v>202886</c:v>
                </c:pt>
                <c:pt idx="5">
                  <c:v>241773</c:v>
                </c:pt>
                <c:pt idx="6">
                  <c:v>258199</c:v>
                </c:pt>
                <c:pt idx="7">
                  <c:v>196460</c:v>
                </c:pt>
                <c:pt idx="8">
                  <c:v>249428</c:v>
                </c:pt>
                <c:pt idx="9">
                  <c:v>254890</c:v>
                </c:pt>
                <c:pt idx="10" formatCode="0">
                  <c:v>229750</c:v>
                </c:pt>
                <c:pt idx="11" formatCode="0">
                  <c:v>206445</c:v>
                </c:pt>
                <c:pt idx="12" formatCode="0">
                  <c:v>169512</c:v>
                </c:pt>
              </c:numCache>
            </c:numRef>
          </c:val>
        </c:ser>
        <c:marker val="1"/>
        <c:axId val="39353344"/>
        <c:axId val="39371520"/>
      </c:lineChart>
      <c:catAx>
        <c:axId val="39353344"/>
        <c:scaling>
          <c:orientation val="minMax"/>
        </c:scaling>
        <c:axPos val="b"/>
        <c:minorGridlines>
          <c:spPr>
            <a:ln w="3175"/>
          </c:spPr>
        </c:minorGridlines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371520"/>
        <c:crosses val="autoZero"/>
        <c:auto val="1"/>
        <c:lblAlgn val="ctr"/>
        <c:lblOffset val="100"/>
      </c:catAx>
      <c:valAx>
        <c:axId val="39371520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35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76767249605209"/>
          <c:y val="0.34220861281228737"/>
          <c:w val="0.18099336179097711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0.88238</cdr:x>
      <cdr:y>0.34518</cdr:y>
    </cdr:from>
    <cdr:to>
      <cdr:x>1</cdr:x>
      <cdr:y>0.43745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97215" y="871269"/>
          <a:ext cx="479487" cy="23291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0.88238</cdr:x>
      <cdr:y>0.43062</cdr:y>
    </cdr:from>
    <cdr:to>
      <cdr:x>1</cdr:x>
      <cdr:y>0.55707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7214" y="1086928"/>
          <a:ext cx="479487" cy="31917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8C88-DC7A-45AC-9486-68AC8D1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962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7197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kandicje</cp:lastModifiedBy>
  <cp:revision>323</cp:revision>
  <cp:lastPrinted>2014-07-21T12:04:00Z</cp:lastPrinted>
  <dcterms:created xsi:type="dcterms:W3CDTF">2014-03-14T12:01:00Z</dcterms:created>
  <dcterms:modified xsi:type="dcterms:W3CDTF">2015-02-23T08:33:00Z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