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4C20B5" w:rsidRPr="007E517E" w:rsidTr="005074F6">
        <w:trPr>
          <w:cantSplit/>
          <w:trHeight w:val="970"/>
        </w:trPr>
        <w:tc>
          <w:tcPr>
            <w:tcW w:w="7513" w:type="dxa"/>
            <w:gridSpan w:val="2"/>
            <w:tcBorders>
              <w:bottom w:val="nil"/>
            </w:tcBorders>
            <w:tcMar>
              <w:left w:w="0" w:type="dxa"/>
              <w:right w:w="0" w:type="dxa"/>
            </w:tcMar>
          </w:tcPr>
          <w:p w:rsidR="005D5311" w:rsidRPr="007E517E" w:rsidRDefault="005D5311" w:rsidP="00687014">
            <w:pPr>
              <w:jc w:val="both"/>
              <w:outlineLvl w:val="0"/>
              <w:rPr>
                <w:rFonts w:ascii="Tahoma" w:hAnsi="Tahoma" w:cs="Tahoma"/>
                <w:sz w:val="16"/>
              </w:rPr>
            </w:pPr>
            <w:r w:rsidRPr="007E517E">
              <w:rPr>
                <w:rFonts w:ascii="Tahoma" w:hAnsi="Tahoma" w:cs="Tahoma"/>
              </w:rPr>
              <w:br w:type="column"/>
            </w:r>
            <w:r w:rsidRPr="007E517E">
              <w:rPr>
                <w:rFonts w:ascii="Tahoma" w:hAnsi="Tahoma" w:cs="Tahoma"/>
              </w:rPr>
              <w:br w:type="column"/>
            </w:r>
            <w:r w:rsidRPr="007E517E">
              <w:rPr>
                <w:rFonts w:ascii="Tahoma" w:hAnsi="Tahoma" w:cs="Tahoma"/>
              </w:rPr>
              <w:br w:type="page"/>
            </w:r>
            <w:r w:rsidRPr="007E517E">
              <w:rPr>
                <w:rFonts w:ascii="Tahoma" w:hAnsi="Tahoma" w:cs="Tahoma"/>
              </w:rPr>
              <w:br w:type="page"/>
            </w:r>
            <w:r w:rsidR="008B47D1" w:rsidRPr="007E517E">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7E517E">
              <w:rPr>
                <w:rFonts w:ascii="Tahoma" w:hAnsi="Tahoma" w:cs="Tahoma"/>
              </w:rPr>
              <w:t xml:space="preserve">     </w:t>
            </w:r>
          </w:p>
        </w:tc>
        <w:tc>
          <w:tcPr>
            <w:tcW w:w="2806" w:type="dxa"/>
            <w:tcBorders>
              <w:bottom w:val="nil"/>
            </w:tcBorders>
            <w:tcMar>
              <w:right w:w="57" w:type="dxa"/>
            </w:tcMar>
          </w:tcPr>
          <w:p w:rsidR="005D5311" w:rsidRPr="007E517E" w:rsidRDefault="005D5311" w:rsidP="00094E6E">
            <w:pPr>
              <w:ind w:left="113"/>
              <w:jc w:val="both"/>
              <w:outlineLvl w:val="0"/>
              <w:rPr>
                <w:rFonts w:ascii="Tahoma" w:hAnsi="Tahoma" w:cs="Tahoma"/>
                <w:sz w:val="16"/>
              </w:rPr>
            </w:pPr>
          </w:p>
          <w:p w:rsidR="005D5311" w:rsidRPr="007E517E" w:rsidRDefault="005D5311" w:rsidP="00094E6E">
            <w:pPr>
              <w:ind w:left="113"/>
              <w:jc w:val="both"/>
              <w:outlineLvl w:val="0"/>
              <w:rPr>
                <w:rFonts w:ascii="Tahoma" w:hAnsi="Tahoma" w:cs="Tahoma"/>
                <w:sz w:val="16"/>
              </w:rPr>
            </w:pPr>
          </w:p>
          <w:p w:rsidR="005D5311" w:rsidRPr="007E517E" w:rsidRDefault="005D5311" w:rsidP="00094E6E">
            <w:pPr>
              <w:ind w:left="113"/>
              <w:jc w:val="both"/>
              <w:outlineLvl w:val="0"/>
              <w:rPr>
                <w:rFonts w:ascii="Tahoma" w:hAnsi="Tahoma" w:cs="Tahoma"/>
                <w:sz w:val="16"/>
              </w:rPr>
            </w:pPr>
          </w:p>
          <w:p w:rsidR="00E72BD4" w:rsidRPr="007E517E" w:rsidRDefault="00BC381E" w:rsidP="00094E6E">
            <w:pPr>
              <w:ind w:left="113"/>
              <w:jc w:val="both"/>
              <w:outlineLvl w:val="0"/>
              <w:rPr>
                <w:rFonts w:ascii="Tahoma" w:hAnsi="Tahoma" w:cs="Tahoma"/>
                <w:sz w:val="16"/>
              </w:rPr>
            </w:pPr>
            <w:r w:rsidRPr="007E517E">
              <w:rPr>
                <w:rFonts w:ascii="Tahoma" w:hAnsi="Tahoma" w:cs="Tahoma"/>
                <w:sz w:val="16"/>
              </w:rPr>
              <w:t xml:space="preserve">  </w:t>
            </w:r>
          </w:p>
          <w:p w:rsidR="005D5311" w:rsidRPr="007E517E" w:rsidRDefault="004551B9" w:rsidP="009E49F3">
            <w:pPr>
              <w:jc w:val="right"/>
              <w:outlineLvl w:val="0"/>
              <w:rPr>
                <w:rFonts w:ascii="Tahoma" w:hAnsi="Tahoma" w:cs="Tahoma"/>
                <w:color w:val="1F497D" w:themeColor="text2"/>
                <w:sz w:val="16"/>
              </w:rPr>
            </w:pPr>
            <w:r w:rsidRPr="007E517E">
              <w:rPr>
                <w:rFonts w:ascii="Tahoma" w:hAnsi="Tahoma" w:cs="Tahoma"/>
                <w:color w:val="1F497D" w:themeColor="text2"/>
                <w:sz w:val="16"/>
              </w:rPr>
              <w:t xml:space="preserve"> </w:t>
            </w:r>
            <w:r w:rsidR="009062FA" w:rsidRPr="007E517E">
              <w:rPr>
                <w:rFonts w:ascii="Tahoma" w:hAnsi="Tahoma" w:cs="Tahoma"/>
                <w:color w:val="1F497D" w:themeColor="text2"/>
                <w:sz w:val="16"/>
              </w:rPr>
              <w:t xml:space="preserve">        </w:t>
            </w:r>
            <w:r w:rsidR="009820C8" w:rsidRPr="007E517E">
              <w:rPr>
                <w:rFonts w:ascii="Tahoma" w:hAnsi="Tahoma" w:cs="Tahoma"/>
                <w:color w:val="1F497D" w:themeColor="text2"/>
                <w:sz w:val="16"/>
              </w:rPr>
              <w:t xml:space="preserve"> </w:t>
            </w:r>
            <w:r w:rsidRPr="007E517E">
              <w:rPr>
                <w:rFonts w:ascii="Tahoma" w:hAnsi="Tahoma" w:cs="Tahoma"/>
                <w:color w:val="1F497D" w:themeColor="text2"/>
                <w:sz w:val="16"/>
              </w:rPr>
              <w:t xml:space="preserve"> </w:t>
            </w:r>
            <w:r w:rsidR="00A975F3" w:rsidRPr="007E517E">
              <w:rPr>
                <w:rFonts w:ascii="Arial Narrow" w:hAnsi="Arial Narrow" w:cs="Tahoma"/>
                <w:color w:val="1F497D" w:themeColor="text2"/>
                <w:sz w:val="18"/>
              </w:rPr>
              <w:t>2</w:t>
            </w:r>
            <w:r w:rsidR="003206D9" w:rsidRPr="007E517E">
              <w:rPr>
                <w:rFonts w:ascii="Arial Narrow" w:hAnsi="Arial Narrow" w:cs="Tahoma"/>
                <w:color w:val="1F497D" w:themeColor="text2"/>
                <w:sz w:val="18"/>
              </w:rPr>
              <w:t>4</w:t>
            </w:r>
            <w:r w:rsidR="009E49F3" w:rsidRPr="007E517E">
              <w:rPr>
                <w:rFonts w:ascii="Arial Narrow" w:hAnsi="Arial Narrow" w:cs="Tahoma"/>
                <w:color w:val="1F497D" w:themeColor="text2"/>
                <w:sz w:val="18"/>
                <w:vertAlign w:val="superscript"/>
              </w:rPr>
              <w:t>th</w:t>
            </w:r>
            <w:r w:rsidR="009E49F3" w:rsidRPr="007E517E">
              <w:rPr>
                <w:rFonts w:ascii="Arial Narrow" w:hAnsi="Arial Narrow" w:cs="Tahoma"/>
                <w:color w:val="1F497D" w:themeColor="text2"/>
                <w:sz w:val="18"/>
              </w:rPr>
              <w:t xml:space="preserve"> August </w:t>
            </w:r>
            <w:r w:rsidR="00A15386" w:rsidRPr="007E517E">
              <w:rPr>
                <w:rFonts w:ascii="Arial Narrow" w:hAnsi="Arial Narrow" w:cs="Tahoma"/>
                <w:color w:val="1F497D" w:themeColor="text2"/>
                <w:sz w:val="18"/>
              </w:rPr>
              <w:t>201</w:t>
            </w:r>
            <w:r w:rsidR="009430A7" w:rsidRPr="007E517E">
              <w:rPr>
                <w:rFonts w:ascii="Arial Narrow" w:hAnsi="Arial Narrow" w:cs="Tahoma"/>
                <w:color w:val="1F497D" w:themeColor="text2"/>
                <w:sz w:val="18"/>
              </w:rPr>
              <w:t>5</w:t>
            </w:r>
            <w:r w:rsidR="00F6075A" w:rsidRPr="007E517E">
              <w:rPr>
                <w:rFonts w:ascii="Tahoma" w:hAnsi="Tahoma" w:cs="Tahoma"/>
                <w:color w:val="1F497D" w:themeColor="text2"/>
                <w:sz w:val="18"/>
              </w:rPr>
              <w:t xml:space="preserve"> </w:t>
            </w:r>
            <w:r w:rsidR="003206D9" w:rsidRPr="007E517E">
              <w:rPr>
                <w:rFonts w:ascii="Arial Narrow" w:hAnsi="Arial Narrow" w:cs="Tahoma"/>
                <w:b/>
                <w:color w:val="1F497D" w:themeColor="text2"/>
                <w:sz w:val="34"/>
                <w:szCs w:val="34"/>
              </w:rPr>
              <w:t>8</w:t>
            </w:r>
            <w:r w:rsidR="00A975F3" w:rsidRPr="007E517E">
              <w:rPr>
                <w:rFonts w:ascii="Arial Narrow" w:hAnsi="Arial Narrow" w:cs="Tahoma"/>
                <w:b/>
                <w:color w:val="1F497D" w:themeColor="text2"/>
                <w:sz w:val="34"/>
                <w:szCs w:val="34"/>
              </w:rPr>
              <w:t>/1</w:t>
            </w:r>
            <w:r w:rsidR="009430A7" w:rsidRPr="007E517E">
              <w:rPr>
                <w:rFonts w:ascii="Arial Narrow" w:hAnsi="Arial Narrow" w:cs="Tahoma"/>
                <w:b/>
                <w:color w:val="1F497D" w:themeColor="text2"/>
                <w:sz w:val="34"/>
                <w:szCs w:val="34"/>
              </w:rPr>
              <w:t>5</w:t>
            </w:r>
            <w:r w:rsidR="00A975F3" w:rsidRPr="007E517E">
              <w:rPr>
                <w:rFonts w:ascii="Tahoma" w:hAnsi="Tahoma" w:cs="Tahoma"/>
                <w:color w:val="1F497D" w:themeColor="text2"/>
                <w:sz w:val="16"/>
              </w:rPr>
              <w:t xml:space="preserve"> </w:t>
            </w:r>
          </w:p>
        </w:tc>
      </w:tr>
      <w:tr w:rsidR="004C20B5" w:rsidRPr="007E517E" w:rsidTr="005074F6">
        <w:trPr>
          <w:cantSplit/>
        </w:trPr>
        <w:tc>
          <w:tcPr>
            <w:tcW w:w="5251" w:type="dxa"/>
            <w:vAlign w:val="center"/>
          </w:tcPr>
          <w:p w:rsidR="005D5311" w:rsidRPr="007E517E" w:rsidRDefault="005D5311" w:rsidP="00094E6E">
            <w:pPr>
              <w:ind w:left="113"/>
              <w:jc w:val="both"/>
              <w:outlineLvl w:val="0"/>
              <w:rPr>
                <w:rFonts w:ascii="Tahoma" w:hAnsi="Tahoma" w:cs="Tahoma"/>
                <w:sz w:val="12"/>
              </w:rPr>
            </w:pPr>
          </w:p>
        </w:tc>
        <w:tc>
          <w:tcPr>
            <w:tcW w:w="5068" w:type="dxa"/>
            <w:gridSpan w:val="2"/>
            <w:vAlign w:val="center"/>
          </w:tcPr>
          <w:p w:rsidR="005D5311" w:rsidRPr="007E517E" w:rsidRDefault="005D5311" w:rsidP="00094E6E">
            <w:pPr>
              <w:ind w:left="113"/>
              <w:jc w:val="both"/>
              <w:outlineLvl w:val="0"/>
              <w:rPr>
                <w:rFonts w:ascii="Tahoma" w:hAnsi="Tahoma" w:cs="Tahoma"/>
                <w:sz w:val="12"/>
              </w:rPr>
            </w:pPr>
          </w:p>
        </w:tc>
      </w:tr>
    </w:tbl>
    <w:p w:rsidR="000971CB" w:rsidRPr="007E517E" w:rsidRDefault="000971CB" w:rsidP="00094E6E">
      <w:pPr>
        <w:jc w:val="both"/>
        <w:rPr>
          <w:rFonts w:ascii="Tahoma" w:hAnsi="Tahoma" w:cs="Tahoma"/>
          <w:i/>
          <w:sz w:val="16"/>
        </w:rPr>
      </w:pPr>
    </w:p>
    <w:tbl>
      <w:tblPr>
        <w:tblW w:w="10319" w:type="dxa"/>
        <w:jc w:val="center"/>
        <w:shd w:val="clear" w:color="auto" w:fill="336699"/>
        <w:tblLook w:val="04A0"/>
      </w:tblPr>
      <w:tblGrid>
        <w:gridCol w:w="10319"/>
      </w:tblGrid>
      <w:tr w:rsidR="004C20B5" w:rsidRPr="007E517E" w:rsidTr="008B47D1">
        <w:trPr>
          <w:trHeight w:val="321"/>
          <w:jc w:val="center"/>
        </w:trPr>
        <w:tc>
          <w:tcPr>
            <w:tcW w:w="10624" w:type="dxa"/>
            <w:shd w:val="clear" w:color="auto" w:fill="336699"/>
          </w:tcPr>
          <w:p w:rsidR="00193339" w:rsidRPr="007E517E" w:rsidRDefault="009E49F3" w:rsidP="00542435">
            <w:pPr>
              <w:jc w:val="center"/>
              <w:outlineLvl w:val="0"/>
              <w:rPr>
                <w:rFonts w:ascii="Arial Narrow" w:hAnsi="Arial Narrow" w:cs="Tahoma"/>
                <w:b/>
                <w:color w:val="FFFFFF" w:themeColor="background1"/>
                <w:sz w:val="34"/>
                <w:szCs w:val="34"/>
              </w:rPr>
            </w:pPr>
            <w:r w:rsidRPr="007E517E">
              <w:rPr>
                <w:rFonts w:ascii="Arial Narrow" w:hAnsi="Arial Narrow" w:cs="Tahoma"/>
                <w:b/>
                <w:bCs/>
                <w:color w:val="FFFFFF" w:themeColor="background1"/>
                <w:spacing w:val="30"/>
                <w:sz w:val="34"/>
                <w:szCs w:val="34"/>
              </w:rPr>
              <w:t>August 2015</w:t>
            </w:r>
          </w:p>
        </w:tc>
      </w:tr>
      <w:tr w:rsidR="004C20B5" w:rsidRPr="007E517E" w:rsidTr="008B47D1">
        <w:trPr>
          <w:trHeight w:val="264"/>
          <w:jc w:val="center"/>
        </w:trPr>
        <w:tc>
          <w:tcPr>
            <w:tcW w:w="10624" w:type="dxa"/>
            <w:shd w:val="clear" w:color="auto" w:fill="336699"/>
          </w:tcPr>
          <w:p w:rsidR="00193339" w:rsidRPr="007E517E" w:rsidRDefault="009E49F3" w:rsidP="00EF319F">
            <w:pPr>
              <w:jc w:val="center"/>
              <w:rPr>
                <w:rFonts w:ascii="Arial Narrow" w:hAnsi="Arial Narrow" w:cs="Tahoma"/>
                <w:color w:val="FFFFFF" w:themeColor="background1"/>
                <w:sz w:val="26"/>
                <w:szCs w:val="26"/>
              </w:rPr>
            </w:pPr>
            <w:r w:rsidRPr="007E517E">
              <w:rPr>
                <w:rFonts w:ascii="Arial Narrow" w:hAnsi="Arial Narrow" w:cs="Tahoma"/>
                <w:bCs/>
                <w:color w:val="FFFFFF" w:themeColor="background1"/>
                <w:spacing w:val="30"/>
                <w:sz w:val="26"/>
                <w:szCs w:val="26"/>
              </w:rPr>
              <w:t>PRESS RELEASE</w:t>
            </w:r>
          </w:p>
        </w:tc>
      </w:tr>
    </w:tbl>
    <w:p w:rsidR="00777348" w:rsidRPr="007E517E" w:rsidRDefault="00777348" w:rsidP="00D35CD4">
      <w:pPr>
        <w:jc w:val="both"/>
        <w:rPr>
          <w:rFonts w:ascii="Arial Narrow" w:hAnsi="Arial Narrow" w:cs="Tahoma"/>
          <w:b/>
        </w:rPr>
      </w:pPr>
    </w:p>
    <w:p w:rsidR="00E33D13" w:rsidRPr="007E517E" w:rsidRDefault="002B5FFC" w:rsidP="00396802">
      <w:pPr>
        <w:ind w:left="-142"/>
        <w:jc w:val="both"/>
        <w:rPr>
          <w:rFonts w:ascii="Arial Narrow" w:hAnsi="Arial Narrow" w:cs="Tahoma"/>
          <w:b/>
          <w:sz w:val="30"/>
          <w:szCs w:val="30"/>
        </w:rPr>
      </w:pPr>
      <w:r w:rsidRPr="007E517E">
        <w:rPr>
          <w:rFonts w:ascii="Arial Narrow" w:hAnsi="Arial Narrow" w:cs="Tahoma"/>
          <w:b/>
          <w:sz w:val="30"/>
          <w:szCs w:val="30"/>
        </w:rPr>
        <w:t xml:space="preserve">  </w:t>
      </w:r>
      <w:r w:rsidR="00C47315" w:rsidRPr="007E517E">
        <w:rPr>
          <w:rFonts w:ascii="Arial Narrow" w:hAnsi="Arial Narrow" w:cs="Tahoma"/>
          <w:b/>
          <w:sz w:val="30"/>
          <w:szCs w:val="30"/>
        </w:rPr>
        <w:t>Average net wage in July</w:t>
      </w:r>
      <w:r w:rsidR="00E33D13" w:rsidRPr="007E517E">
        <w:rPr>
          <w:rFonts w:ascii="Arial Narrow" w:hAnsi="Arial Narrow" w:cs="Tahoma"/>
          <w:b/>
          <w:sz w:val="30"/>
          <w:szCs w:val="30"/>
        </w:rPr>
        <w:t xml:space="preserve"> 8</w:t>
      </w:r>
      <w:r w:rsidR="00C70C0F" w:rsidRPr="007E517E">
        <w:rPr>
          <w:rFonts w:ascii="Arial Narrow" w:hAnsi="Arial Narrow" w:cs="Tahoma"/>
          <w:b/>
          <w:sz w:val="30"/>
          <w:szCs w:val="30"/>
        </w:rPr>
        <w:t>3</w:t>
      </w:r>
      <w:r w:rsidR="00625174" w:rsidRPr="007E517E">
        <w:rPr>
          <w:rFonts w:ascii="Arial Narrow" w:hAnsi="Arial Narrow" w:cs="Tahoma"/>
          <w:b/>
          <w:sz w:val="30"/>
          <w:szCs w:val="30"/>
        </w:rPr>
        <w:t>4</w:t>
      </w:r>
      <w:r w:rsidR="00E33D13" w:rsidRPr="007E517E">
        <w:rPr>
          <w:rFonts w:ascii="Arial Narrow" w:hAnsi="Arial Narrow" w:cs="Tahoma"/>
          <w:b/>
          <w:sz w:val="30"/>
          <w:szCs w:val="30"/>
        </w:rPr>
        <w:t xml:space="preserve"> КМ</w:t>
      </w:r>
    </w:p>
    <w:p w:rsidR="00E33D13" w:rsidRPr="007E517E" w:rsidRDefault="00C47315" w:rsidP="00E33D13">
      <w:pPr>
        <w:tabs>
          <w:tab w:val="left" w:pos="4343"/>
        </w:tabs>
        <w:jc w:val="both"/>
        <w:rPr>
          <w:rFonts w:ascii="Arial Narrow" w:hAnsi="Arial Narrow" w:cs="Tahoma"/>
          <w:b/>
          <w:i/>
          <w:sz w:val="28"/>
          <w:szCs w:val="28"/>
        </w:rPr>
      </w:pPr>
      <w:r w:rsidRPr="007E517E">
        <w:rPr>
          <w:rFonts w:ascii="Arial Narrow" w:hAnsi="Arial Narrow" w:cs="Tahoma"/>
          <w:b/>
          <w:sz w:val="28"/>
          <w:szCs w:val="28"/>
        </w:rPr>
        <w:t xml:space="preserve">The highest average net wage was that in the section </w:t>
      </w:r>
      <w:r w:rsidRPr="007E517E">
        <w:rPr>
          <w:rFonts w:ascii="Arial Narrow" w:hAnsi="Arial Narrow" w:cs="Tahoma"/>
          <w:b/>
          <w:i/>
          <w:sz w:val="28"/>
          <w:szCs w:val="28"/>
        </w:rPr>
        <w:t>Financial and insurance activities</w:t>
      </w:r>
      <w:r w:rsidRPr="007E517E">
        <w:rPr>
          <w:rFonts w:ascii="Arial Narrow" w:hAnsi="Arial Narrow" w:cs="Tahoma"/>
          <w:b/>
          <w:sz w:val="28"/>
          <w:szCs w:val="28"/>
        </w:rPr>
        <w:t xml:space="preserve"> 1,</w:t>
      </w:r>
      <w:r w:rsidR="00E33D13" w:rsidRPr="007E517E">
        <w:rPr>
          <w:rFonts w:ascii="Arial Narrow" w:hAnsi="Arial Narrow" w:cs="Tahoma"/>
          <w:b/>
          <w:sz w:val="28"/>
          <w:szCs w:val="28"/>
        </w:rPr>
        <w:t>2</w:t>
      </w:r>
      <w:r w:rsidR="00470221" w:rsidRPr="007E517E">
        <w:rPr>
          <w:rFonts w:ascii="Arial Narrow" w:hAnsi="Arial Narrow" w:cs="Tahoma"/>
          <w:b/>
          <w:sz w:val="28"/>
          <w:szCs w:val="28"/>
        </w:rPr>
        <w:t>6</w:t>
      </w:r>
      <w:r w:rsidR="00625174" w:rsidRPr="007E517E">
        <w:rPr>
          <w:rFonts w:ascii="Arial Narrow" w:hAnsi="Arial Narrow" w:cs="Tahoma"/>
          <w:b/>
          <w:sz w:val="28"/>
          <w:szCs w:val="28"/>
        </w:rPr>
        <w:t>3</w:t>
      </w:r>
      <w:r w:rsidR="00E33D13" w:rsidRPr="007E517E">
        <w:rPr>
          <w:rFonts w:ascii="Arial Narrow" w:hAnsi="Arial Narrow" w:cs="Tahoma"/>
          <w:b/>
          <w:sz w:val="28"/>
          <w:szCs w:val="28"/>
        </w:rPr>
        <w:t xml:space="preserve"> КМ, </w:t>
      </w:r>
      <w:r w:rsidRPr="007E517E">
        <w:rPr>
          <w:rFonts w:ascii="Arial Narrow" w:hAnsi="Arial Narrow" w:cs="Tahoma"/>
          <w:b/>
          <w:sz w:val="28"/>
          <w:szCs w:val="28"/>
        </w:rPr>
        <w:t xml:space="preserve">while the lowest one was that in the section </w:t>
      </w:r>
      <w:r w:rsidRPr="007E517E">
        <w:rPr>
          <w:rFonts w:ascii="Arial Narrow" w:hAnsi="Arial Narrow" w:cs="Tahoma"/>
          <w:b/>
          <w:i/>
          <w:sz w:val="28"/>
          <w:szCs w:val="28"/>
        </w:rPr>
        <w:t>Administrative and support service activities</w:t>
      </w:r>
      <w:r w:rsidR="0048741A" w:rsidRPr="007E517E">
        <w:rPr>
          <w:rFonts w:ascii="Arial Narrow" w:hAnsi="Arial Narrow" w:cs="Tahoma"/>
          <w:b/>
          <w:i/>
          <w:sz w:val="28"/>
          <w:szCs w:val="28"/>
        </w:rPr>
        <w:t xml:space="preserve"> </w:t>
      </w:r>
      <w:r w:rsidR="00E33D13" w:rsidRPr="007E517E">
        <w:rPr>
          <w:rFonts w:ascii="Arial Narrow" w:hAnsi="Arial Narrow" w:cs="Tahoma"/>
          <w:b/>
          <w:sz w:val="28"/>
          <w:szCs w:val="28"/>
        </w:rPr>
        <w:t>5</w:t>
      </w:r>
      <w:r w:rsidR="00625174" w:rsidRPr="007E517E">
        <w:rPr>
          <w:rFonts w:ascii="Arial Narrow" w:hAnsi="Arial Narrow" w:cs="Tahoma"/>
          <w:b/>
          <w:sz w:val="28"/>
          <w:szCs w:val="28"/>
        </w:rPr>
        <w:t>20</w:t>
      </w:r>
      <w:r w:rsidR="00E33D13" w:rsidRPr="007E517E">
        <w:rPr>
          <w:rFonts w:ascii="Arial Narrow" w:hAnsi="Arial Narrow" w:cs="Tahoma"/>
          <w:b/>
          <w:sz w:val="28"/>
          <w:szCs w:val="28"/>
        </w:rPr>
        <w:t xml:space="preserve"> КМ</w:t>
      </w:r>
    </w:p>
    <w:p w:rsidR="00E33D13" w:rsidRPr="007E517E" w:rsidRDefault="00470221" w:rsidP="00470221">
      <w:pPr>
        <w:tabs>
          <w:tab w:val="left" w:pos="1651"/>
          <w:tab w:val="left" w:pos="2192"/>
        </w:tabs>
        <w:jc w:val="both"/>
        <w:rPr>
          <w:rFonts w:ascii="Tahoma" w:hAnsi="Tahoma" w:cs="Tahoma"/>
          <w:b/>
        </w:rPr>
      </w:pPr>
      <w:r w:rsidRPr="007E517E">
        <w:rPr>
          <w:rFonts w:ascii="Tahoma" w:hAnsi="Tahoma" w:cs="Tahoma"/>
          <w:b/>
        </w:rPr>
        <w:tab/>
      </w:r>
      <w:r w:rsidRPr="007E517E">
        <w:rPr>
          <w:rFonts w:ascii="Tahoma" w:hAnsi="Tahoma" w:cs="Tahoma"/>
          <w:b/>
        </w:rPr>
        <w:tab/>
      </w:r>
    </w:p>
    <w:p w:rsidR="00B82005" w:rsidRPr="007E517E" w:rsidRDefault="002B6015" w:rsidP="00E33D13">
      <w:pPr>
        <w:tabs>
          <w:tab w:val="left" w:pos="1134"/>
        </w:tabs>
        <w:jc w:val="both"/>
        <w:rPr>
          <w:rFonts w:ascii="Arial Narrow" w:hAnsi="Arial Narrow" w:cs="Tahoma"/>
          <w:sz w:val="22"/>
        </w:rPr>
      </w:pPr>
      <w:r w:rsidRPr="007E517E">
        <w:rPr>
          <w:rFonts w:ascii="Arial Narrow" w:hAnsi="Arial Narrow" w:cs="Tahoma"/>
          <w:sz w:val="22"/>
        </w:rPr>
        <w:t xml:space="preserve">Average monthly net wage of employed persons in Republika Srpska paid in July </w:t>
      </w:r>
      <w:r w:rsidR="00E33D13" w:rsidRPr="007E517E">
        <w:rPr>
          <w:rFonts w:ascii="Arial Narrow" w:hAnsi="Arial Narrow" w:cs="Tahoma"/>
          <w:sz w:val="22"/>
        </w:rPr>
        <w:t>201</w:t>
      </w:r>
      <w:r w:rsidR="0032724B" w:rsidRPr="007E517E">
        <w:rPr>
          <w:rFonts w:ascii="Arial Narrow" w:hAnsi="Arial Narrow" w:cs="Tahoma"/>
          <w:sz w:val="22"/>
        </w:rPr>
        <w:t>5</w:t>
      </w:r>
      <w:r w:rsidR="00E33D13" w:rsidRPr="007E517E">
        <w:rPr>
          <w:rFonts w:ascii="Arial Narrow" w:hAnsi="Arial Narrow" w:cs="Tahoma"/>
          <w:sz w:val="22"/>
        </w:rPr>
        <w:t xml:space="preserve"> </w:t>
      </w:r>
      <w:r w:rsidRPr="007E517E">
        <w:rPr>
          <w:rFonts w:ascii="Arial Narrow" w:hAnsi="Arial Narrow" w:cs="Tahoma"/>
          <w:sz w:val="22"/>
        </w:rPr>
        <w:t>was</w:t>
      </w:r>
      <w:r w:rsidR="00E33D13" w:rsidRPr="007E517E">
        <w:rPr>
          <w:rFonts w:ascii="Arial Narrow" w:hAnsi="Arial Narrow" w:cs="Tahoma"/>
          <w:b/>
          <w:sz w:val="22"/>
        </w:rPr>
        <w:t xml:space="preserve"> </w:t>
      </w:r>
      <w:r w:rsidR="00E33D13" w:rsidRPr="007E517E">
        <w:rPr>
          <w:rFonts w:ascii="Arial Narrow" w:hAnsi="Arial Narrow" w:cs="Tahoma"/>
          <w:sz w:val="22"/>
        </w:rPr>
        <w:t>8</w:t>
      </w:r>
      <w:r w:rsidR="00625174" w:rsidRPr="007E517E">
        <w:rPr>
          <w:rFonts w:ascii="Arial Narrow" w:hAnsi="Arial Narrow" w:cs="Tahoma"/>
          <w:sz w:val="22"/>
        </w:rPr>
        <w:t>34</w:t>
      </w:r>
      <w:r w:rsidR="00E33D13" w:rsidRPr="007E517E">
        <w:rPr>
          <w:rFonts w:ascii="Arial Narrow" w:hAnsi="Arial Narrow" w:cs="Tahoma"/>
          <w:sz w:val="22"/>
        </w:rPr>
        <w:t xml:space="preserve"> КМ, </w:t>
      </w:r>
      <w:r w:rsidRPr="007E517E">
        <w:rPr>
          <w:rFonts w:ascii="Arial Narrow" w:hAnsi="Arial Narrow" w:cs="Tahoma"/>
          <w:sz w:val="22"/>
        </w:rPr>
        <w:t>while average monthly gross wage was 1,</w:t>
      </w:r>
      <w:r w:rsidR="00E33D13" w:rsidRPr="007E517E">
        <w:rPr>
          <w:rFonts w:ascii="Arial Narrow" w:hAnsi="Arial Narrow" w:cs="Tahoma"/>
          <w:sz w:val="22"/>
        </w:rPr>
        <w:t>3</w:t>
      </w:r>
      <w:r w:rsidR="00625174" w:rsidRPr="007E517E">
        <w:rPr>
          <w:rFonts w:ascii="Arial Narrow" w:hAnsi="Arial Narrow" w:cs="Tahoma"/>
          <w:sz w:val="22"/>
        </w:rPr>
        <w:t>43</w:t>
      </w:r>
      <w:r w:rsidR="00E33D13" w:rsidRPr="007E517E">
        <w:rPr>
          <w:rFonts w:ascii="Arial Narrow" w:hAnsi="Arial Narrow" w:cs="Tahoma"/>
          <w:sz w:val="22"/>
        </w:rPr>
        <w:t xml:space="preserve"> КМ.</w:t>
      </w:r>
      <w:r w:rsidR="00B82005" w:rsidRPr="007E517E">
        <w:rPr>
          <w:rFonts w:ascii="Arial Narrow" w:hAnsi="Arial Narrow" w:cs="Tahoma"/>
          <w:sz w:val="22"/>
        </w:rPr>
        <w:t xml:space="preserve"> </w:t>
      </w:r>
    </w:p>
    <w:p w:rsidR="00B82005" w:rsidRPr="007E517E" w:rsidRDefault="00B82005" w:rsidP="00F17452">
      <w:pPr>
        <w:tabs>
          <w:tab w:val="left" w:pos="1134"/>
        </w:tabs>
        <w:ind w:firstLine="720"/>
        <w:jc w:val="both"/>
        <w:rPr>
          <w:rFonts w:ascii="Arial Narrow" w:hAnsi="Arial Narrow" w:cs="Tahoma"/>
          <w:sz w:val="22"/>
        </w:rPr>
      </w:pPr>
    </w:p>
    <w:p w:rsidR="002B6015" w:rsidRPr="007E517E" w:rsidRDefault="002B6015" w:rsidP="00E33D13">
      <w:pPr>
        <w:tabs>
          <w:tab w:val="left" w:pos="1134"/>
        </w:tabs>
        <w:jc w:val="both"/>
        <w:rPr>
          <w:rFonts w:ascii="Arial Narrow" w:hAnsi="Arial Narrow" w:cs="Tahoma"/>
          <w:sz w:val="22"/>
        </w:rPr>
      </w:pPr>
      <w:r w:rsidRPr="007E517E">
        <w:rPr>
          <w:rFonts w:ascii="Arial Narrow" w:hAnsi="Arial Narrow" w:cs="Tahoma"/>
          <w:sz w:val="22"/>
        </w:rPr>
        <w:t>Compared to July</w:t>
      </w:r>
      <w:r w:rsidR="00A80BB3" w:rsidRPr="007E517E">
        <w:rPr>
          <w:rFonts w:ascii="Arial Narrow" w:hAnsi="Arial Narrow" w:cs="Tahoma"/>
          <w:sz w:val="22"/>
        </w:rPr>
        <w:t xml:space="preserve"> 201</w:t>
      </w:r>
      <w:r w:rsidR="0032724B" w:rsidRPr="007E517E">
        <w:rPr>
          <w:rFonts w:ascii="Arial Narrow" w:hAnsi="Arial Narrow" w:cs="Tahoma"/>
          <w:sz w:val="22"/>
        </w:rPr>
        <w:t>4</w:t>
      </w:r>
      <w:r w:rsidRPr="007E517E">
        <w:rPr>
          <w:rFonts w:ascii="Arial Narrow" w:hAnsi="Arial Narrow" w:cs="Tahoma"/>
          <w:sz w:val="22"/>
        </w:rPr>
        <w:t xml:space="preserve">, average net wage paid in July 2015 was really 2.2% higher, while compared to June 2015 it was really 0.3% lower. </w:t>
      </w:r>
    </w:p>
    <w:p w:rsidR="00B82005" w:rsidRPr="007E517E" w:rsidRDefault="00B82005" w:rsidP="00B82005">
      <w:pPr>
        <w:tabs>
          <w:tab w:val="left" w:pos="1134"/>
        </w:tabs>
        <w:jc w:val="both"/>
        <w:rPr>
          <w:rFonts w:ascii="Arial Narrow" w:hAnsi="Arial Narrow" w:cs="Tahoma"/>
          <w:sz w:val="22"/>
        </w:rPr>
      </w:pPr>
    </w:p>
    <w:p w:rsidR="002B6015" w:rsidRPr="007E517E" w:rsidRDefault="002B6015" w:rsidP="00B82005">
      <w:pPr>
        <w:tabs>
          <w:tab w:val="left" w:pos="1134"/>
        </w:tabs>
        <w:jc w:val="both"/>
        <w:rPr>
          <w:rFonts w:ascii="Arial Narrow" w:hAnsi="Arial Narrow" w:cs="Tahoma"/>
          <w:sz w:val="22"/>
        </w:rPr>
      </w:pPr>
      <w:r w:rsidRPr="007E517E">
        <w:rPr>
          <w:rFonts w:ascii="Arial Narrow" w:hAnsi="Arial Narrow" w:cs="Tahoma"/>
          <w:sz w:val="22"/>
        </w:rPr>
        <w:t>The decrease in the average net wage in July 2015, compared to June 2015, occurred mainly due to</w:t>
      </w:r>
      <w:r w:rsidR="00387DB1" w:rsidRPr="007E517E">
        <w:rPr>
          <w:rFonts w:ascii="Arial Narrow" w:hAnsi="Arial Narrow" w:cs="Tahoma"/>
          <w:sz w:val="22"/>
        </w:rPr>
        <w:t xml:space="preserve"> a</w:t>
      </w:r>
      <w:r w:rsidRPr="007E517E">
        <w:rPr>
          <w:rFonts w:ascii="Arial Narrow" w:hAnsi="Arial Narrow" w:cs="Tahoma"/>
          <w:sz w:val="22"/>
        </w:rPr>
        <w:t xml:space="preserve"> lower number of paid overtime </w:t>
      </w:r>
      <w:r w:rsidR="00387DB1" w:rsidRPr="007E517E">
        <w:rPr>
          <w:rFonts w:ascii="Arial Narrow" w:hAnsi="Arial Narrow" w:cs="Tahoma"/>
          <w:sz w:val="22"/>
        </w:rPr>
        <w:t xml:space="preserve">hours of work in the sections Mining and quarrying, Electricity supply and Manufacturing, which employ a significant number of persons. </w:t>
      </w:r>
    </w:p>
    <w:p w:rsidR="00E33D13" w:rsidRPr="007E517E" w:rsidRDefault="00E33D13" w:rsidP="00E33D13">
      <w:pPr>
        <w:tabs>
          <w:tab w:val="left" w:pos="1134"/>
        </w:tabs>
        <w:jc w:val="both"/>
        <w:rPr>
          <w:rFonts w:ascii="Arial Narrow" w:hAnsi="Arial Narrow" w:cs="Tahoma"/>
          <w:sz w:val="22"/>
        </w:rPr>
      </w:pPr>
    </w:p>
    <w:p w:rsidR="00387DB1" w:rsidRPr="007E517E" w:rsidRDefault="00387DB1" w:rsidP="00E33D13">
      <w:pPr>
        <w:tabs>
          <w:tab w:val="left" w:pos="1134"/>
        </w:tabs>
        <w:jc w:val="both"/>
        <w:rPr>
          <w:rFonts w:ascii="Arial Narrow" w:hAnsi="Arial Narrow" w:cs="Tahoma"/>
          <w:i/>
          <w:sz w:val="22"/>
        </w:rPr>
      </w:pPr>
      <w:r w:rsidRPr="007E517E">
        <w:rPr>
          <w:rFonts w:ascii="Arial Narrow" w:hAnsi="Arial Narrow" w:cs="Tahoma"/>
          <w:sz w:val="22"/>
        </w:rPr>
        <w:t xml:space="preserve">In July 2015, the highest average net wage, by section of activities was paid in the section </w:t>
      </w:r>
      <w:r w:rsidRPr="007E517E">
        <w:rPr>
          <w:rFonts w:ascii="Arial Narrow" w:hAnsi="Arial Narrow" w:cs="Tahoma"/>
          <w:i/>
          <w:sz w:val="22"/>
        </w:rPr>
        <w:t xml:space="preserve">Financial and insurance activities </w:t>
      </w:r>
      <w:r w:rsidRPr="007E517E">
        <w:rPr>
          <w:rFonts w:ascii="Arial Narrow" w:hAnsi="Arial Narrow" w:cs="Tahoma"/>
          <w:sz w:val="22"/>
        </w:rPr>
        <w:t xml:space="preserve">and it amounted to 1,263 KM. On the other hand, the lowest average net wage in </w:t>
      </w:r>
      <w:r w:rsidR="005878DA" w:rsidRPr="007E517E">
        <w:rPr>
          <w:rFonts w:ascii="Arial Narrow" w:hAnsi="Arial Narrow" w:cs="Tahoma"/>
          <w:sz w:val="22"/>
        </w:rPr>
        <w:t xml:space="preserve">July 2015 was the one paid in the section </w:t>
      </w:r>
      <w:r w:rsidR="005878DA" w:rsidRPr="007E517E">
        <w:rPr>
          <w:rFonts w:ascii="Arial Narrow" w:hAnsi="Arial Narrow" w:cs="Tahoma"/>
          <w:i/>
          <w:sz w:val="22"/>
        </w:rPr>
        <w:t xml:space="preserve">Administrative and support service activities </w:t>
      </w:r>
      <w:r w:rsidR="005878DA" w:rsidRPr="007E517E">
        <w:rPr>
          <w:rFonts w:ascii="Arial Narrow" w:hAnsi="Arial Narrow" w:cs="Tahoma"/>
          <w:sz w:val="22"/>
        </w:rPr>
        <w:t>520 KM</w:t>
      </w:r>
      <w:r w:rsidR="005878DA" w:rsidRPr="007E517E">
        <w:rPr>
          <w:rFonts w:ascii="Arial Narrow" w:hAnsi="Arial Narrow" w:cs="Tahoma"/>
          <w:i/>
          <w:sz w:val="22"/>
        </w:rPr>
        <w:t xml:space="preserve">. </w:t>
      </w:r>
    </w:p>
    <w:p w:rsidR="005878DA" w:rsidRPr="007E517E" w:rsidRDefault="005878DA" w:rsidP="00E33D13">
      <w:pPr>
        <w:tabs>
          <w:tab w:val="left" w:pos="1134"/>
        </w:tabs>
        <w:jc w:val="both"/>
        <w:rPr>
          <w:rFonts w:ascii="Arial Narrow" w:hAnsi="Arial Narrow" w:cs="Tahoma"/>
          <w:i/>
          <w:sz w:val="22"/>
        </w:rPr>
      </w:pPr>
    </w:p>
    <w:p w:rsidR="005878DA" w:rsidRPr="007E517E" w:rsidRDefault="005878DA" w:rsidP="00E33D13">
      <w:pPr>
        <w:tabs>
          <w:tab w:val="left" w:pos="1134"/>
        </w:tabs>
        <w:jc w:val="both"/>
        <w:rPr>
          <w:rFonts w:ascii="Arial Narrow" w:hAnsi="Arial Narrow" w:cs="Tahoma"/>
          <w:sz w:val="22"/>
        </w:rPr>
      </w:pPr>
      <w:r w:rsidRPr="007E517E">
        <w:rPr>
          <w:rFonts w:ascii="Arial Narrow" w:hAnsi="Arial Narrow" w:cs="Tahoma"/>
          <w:sz w:val="22"/>
        </w:rPr>
        <w:t xml:space="preserve">In July 2015, compared to June 2015, the highest nominal increase in net wages was recorded in the section </w:t>
      </w:r>
      <w:r w:rsidRPr="007E517E">
        <w:rPr>
          <w:rFonts w:ascii="Arial Narrow" w:hAnsi="Arial Narrow" w:cs="Tahoma"/>
          <w:i/>
          <w:sz w:val="22"/>
        </w:rPr>
        <w:t>Agriculture, forestry and fishing</w:t>
      </w:r>
      <w:r w:rsidRPr="007E517E">
        <w:rPr>
          <w:rFonts w:ascii="Arial Narrow" w:hAnsi="Arial Narrow" w:cs="Tahoma"/>
          <w:sz w:val="22"/>
        </w:rPr>
        <w:t xml:space="preserve"> 1.3%, followed by </w:t>
      </w:r>
      <w:r w:rsidRPr="007E517E">
        <w:rPr>
          <w:rFonts w:ascii="Arial Narrow" w:hAnsi="Arial Narrow" w:cs="Tahoma"/>
          <w:i/>
          <w:sz w:val="22"/>
        </w:rPr>
        <w:t>Information and communication</w:t>
      </w:r>
      <w:r w:rsidRPr="007E517E">
        <w:rPr>
          <w:rFonts w:ascii="Arial Narrow" w:hAnsi="Arial Narrow" w:cs="Tahoma"/>
          <w:sz w:val="22"/>
        </w:rPr>
        <w:t xml:space="preserve"> 1.0% and </w:t>
      </w:r>
      <w:r w:rsidRPr="007E517E">
        <w:rPr>
          <w:rFonts w:ascii="Arial Narrow" w:hAnsi="Arial Narrow" w:cs="Tahoma"/>
          <w:i/>
          <w:sz w:val="22"/>
        </w:rPr>
        <w:t>Administrative and support service activities</w:t>
      </w:r>
      <w:r w:rsidRPr="007E517E">
        <w:rPr>
          <w:rFonts w:ascii="Arial Narrow" w:hAnsi="Arial Narrow" w:cs="Tahoma"/>
          <w:sz w:val="22"/>
        </w:rPr>
        <w:t xml:space="preserve"> 1.0%. </w:t>
      </w:r>
    </w:p>
    <w:p w:rsidR="00E33D13" w:rsidRPr="007E517E" w:rsidRDefault="00E33D13" w:rsidP="00E33D13">
      <w:pPr>
        <w:jc w:val="both"/>
        <w:rPr>
          <w:rFonts w:ascii="Arial Narrow" w:hAnsi="Arial Narrow" w:cs="Tahoma"/>
          <w:sz w:val="22"/>
        </w:rPr>
      </w:pPr>
    </w:p>
    <w:p w:rsidR="00C804D3" w:rsidRPr="007E517E" w:rsidRDefault="005878DA" w:rsidP="00E33D13">
      <w:pPr>
        <w:jc w:val="both"/>
        <w:rPr>
          <w:rFonts w:ascii="Arial Narrow" w:hAnsi="Arial Narrow" w:cs="Tahoma"/>
          <w:sz w:val="22"/>
          <w:szCs w:val="22"/>
        </w:rPr>
      </w:pPr>
      <w:r w:rsidRPr="007E517E">
        <w:rPr>
          <w:rFonts w:ascii="Arial Narrow" w:hAnsi="Arial Narrow" w:cs="Tahoma"/>
          <w:sz w:val="22"/>
          <w:szCs w:val="22"/>
        </w:rPr>
        <w:t xml:space="preserve">A decrease in nominal wages was recorded in the sections </w:t>
      </w:r>
      <w:r w:rsidRPr="007E517E">
        <w:rPr>
          <w:rFonts w:ascii="Arial Narrow" w:hAnsi="Arial Narrow" w:cs="Tahoma"/>
          <w:i/>
          <w:sz w:val="22"/>
          <w:szCs w:val="22"/>
        </w:rPr>
        <w:t>Mining and quarrying</w:t>
      </w:r>
      <w:r w:rsidRPr="007E517E">
        <w:rPr>
          <w:rFonts w:ascii="Arial Narrow" w:hAnsi="Arial Narrow" w:cs="Tahoma"/>
          <w:sz w:val="22"/>
          <w:szCs w:val="22"/>
        </w:rPr>
        <w:t xml:space="preserve"> 6.5%, </w:t>
      </w:r>
      <w:r w:rsidRPr="007E517E">
        <w:rPr>
          <w:rFonts w:ascii="Arial Narrow" w:hAnsi="Arial Narrow" w:cs="Tahoma"/>
          <w:i/>
          <w:sz w:val="22"/>
          <w:szCs w:val="22"/>
        </w:rPr>
        <w:t>Electricity, gas, steam and air-conditioning supply</w:t>
      </w:r>
      <w:r w:rsidRPr="007E517E">
        <w:rPr>
          <w:rFonts w:ascii="Arial Narrow" w:hAnsi="Arial Narrow" w:cs="Tahoma"/>
          <w:sz w:val="22"/>
          <w:szCs w:val="22"/>
        </w:rPr>
        <w:t xml:space="preserve"> 3.1% and </w:t>
      </w:r>
      <w:r w:rsidRPr="007E517E">
        <w:rPr>
          <w:rFonts w:ascii="Arial Narrow" w:hAnsi="Arial Narrow" w:cs="Tahoma"/>
          <w:i/>
          <w:sz w:val="22"/>
          <w:szCs w:val="22"/>
        </w:rPr>
        <w:t>Accommodation and food service activities</w:t>
      </w:r>
      <w:r w:rsidRPr="007E517E">
        <w:rPr>
          <w:rFonts w:ascii="Arial Narrow" w:hAnsi="Arial Narrow" w:cs="Tahoma"/>
          <w:sz w:val="22"/>
          <w:szCs w:val="22"/>
        </w:rPr>
        <w:t xml:space="preserve"> 2.0%. </w:t>
      </w:r>
    </w:p>
    <w:p w:rsidR="00396802" w:rsidRPr="007E517E" w:rsidRDefault="00396802" w:rsidP="00E33D13">
      <w:pPr>
        <w:jc w:val="both"/>
        <w:rPr>
          <w:rFonts w:ascii="Tahoma" w:hAnsi="Tahoma" w:cs="Tahoma"/>
          <w:i/>
          <w:sz w:val="14"/>
        </w:rPr>
      </w:pPr>
    </w:p>
    <w:p w:rsidR="00E33D13" w:rsidRPr="007E517E" w:rsidRDefault="00E33D13" w:rsidP="00E33D13">
      <w:pPr>
        <w:jc w:val="both"/>
        <w:rPr>
          <w:rFonts w:ascii="Arial Narrow" w:hAnsi="Arial Narrow" w:cs="Tahoma"/>
          <w:sz w:val="22"/>
          <w:szCs w:val="22"/>
        </w:rPr>
      </w:pPr>
      <w:r w:rsidRPr="007E517E">
        <w:rPr>
          <w:rFonts w:ascii="Tahoma" w:hAnsi="Tahoma" w:cs="Tahoma"/>
          <w:i/>
          <w:sz w:val="14"/>
        </w:rPr>
        <w:t xml:space="preserve"> </w:t>
      </w:r>
      <w:r w:rsidRPr="007E517E">
        <w:rPr>
          <w:rFonts w:ascii="Tahoma" w:hAnsi="Tahoma" w:cs="Tahoma"/>
          <w:sz w:val="14"/>
        </w:rPr>
        <w:t xml:space="preserve">   </w:t>
      </w:r>
      <w:r w:rsidRPr="007E517E">
        <w:rPr>
          <w:rFonts w:ascii="Tahoma" w:hAnsi="Tahoma" w:cs="Tahoma"/>
          <w:sz w:val="14"/>
        </w:rPr>
        <w:tab/>
      </w:r>
      <w:r w:rsidRPr="007E517E">
        <w:rPr>
          <w:rFonts w:ascii="Tahoma" w:hAnsi="Tahoma" w:cs="Tahoma"/>
          <w:sz w:val="14"/>
        </w:rPr>
        <w:tab/>
        <w:t xml:space="preserve">            </w:t>
      </w:r>
      <w:r w:rsidR="00F85AAC" w:rsidRPr="007E517E">
        <w:rPr>
          <w:rFonts w:ascii="Tahoma" w:hAnsi="Tahoma" w:cs="Tahoma"/>
          <w:sz w:val="14"/>
        </w:rPr>
        <w:t xml:space="preserve">   </w:t>
      </w:r>
      <w:r w:rsidRPr="007E517E">
        <w:rPr>
          <w:rFonts w:ascii="Arial Narrow" w:hAnsi="Arial Narrow" w:cs="Tahoma"/>
          <w:sz w:val="22"/>
          <w:szCs w:val="22"/>
        </w:rPr>
        <w:t>км</w:t>
      </w:r>
    </w:p>
    <w:p w:rsidR="00E33D13" w:rsidRPr="007E517E" w:rsidRDefault="00F54DF7" w:rsidP="00E33D13">
      <w:pPr>
        <w:jc w:val="center"/>
        <w:rPr>
          <w:rFonts w:ascii="Tahoma" w:hAnsi="Tahoma" w:cs="Tahoma"/>
        </w:rPr>
      </w:pPr>
      <w:r w:rsidRPr="007E517E">
        <w:rPr>
          <w:rFonts w:ascii="Tahoma" w:hAnsi="Tahoma" w:cs="Tahoma"/>
          <w:noProof/>
          <w:szCs w:val="18"/>
        </w:rPr>
        <w:drawing>
          <wp:anchor distT="0" distB="0" distL="114300" distR="114300" simplePos="0" relativeHeight="251669504" behindDoc="0" locked="0" layoutInCell="1" allowOverlap="1">
            <wp:simplePos x="0" y="0"/>
            <wp:positionH relativeFrom="column">
              <wp:posOffset>944880</wp:posOffset>
            </wp:positionH>
            <wp:positionV relativeFrom="paragraph">
              <wp:posOffset>2056460</wp:posOffset>
            </wp:positionV>
            <wp:extent cx="4504690" cy="461010"/>
            <wp:effectExtent l="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4690" cy="461010"/>
                    </a:xfrm>
                    <a:prstGeom prst="rect">
                      <a:avLst/>
                    </a:prstGeom>
                  </pic:spPr>
                </pic:pic>
              </a:graphicData>
            </a:graphic>
          </wp:anchor>
        </w:drawing>
      </w:r>
      <w:r w:rsidR="00411E96" w:rsidRPr="007E517E">
        <w:rPr>
          <w:noProof/>
        </w:rPr>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33D13" w:rsidRPr="007E517E">
        <w:rPr>
          <w:rFonts w:ascii="Tahoma" w:hAnsi="Tahoma" w:cs="Tahoma"/>
          <w:szCs w:val="18"/>
        </w:rPr>
        <w:t xml:space="preserve">   </w:t>
      </w:r>
    </w:p>
    <w:p w:rsidR="00E33D13" w:rsidRPr="007E517E" w:rsidRDefault="00E33D13" w:rsidP="00E33D13">
      <w:pPr>
        <w:jc w:val="center"/>
        <w:rPr>
          <w:rFonts w:ascii="Tahoma" w:hAnsi="Tahoma" w:cs="Tahoma"/>
          <w:sz w:val="18"/>
          <w:szCs w:val="18"/>
        </w:rPr>
      </w:pPr>
    </w:p>
    <w:p w:rsidR="007F0985" w:rsidRPr="007E517E" w:rsidRDefault="007F0985" w:rsidP="007F0985">
      <w:pPr>
        <w:jc w:val="center"/>
        <w:outlineLvl w:val="0"/>
        <w:rPr>
          <w:rFonts w:ascii="Arial Narrow" w:hAnsi="Arial Narrow" w:cs="Tahoma"/>
          <w:sz w:val="16"/>
          <w:szCs w:val="22"/>
        </w:rPr>
      </w:pPr>
      <w:r w:rsidRPr="007E517E">
        <w:rPr>
          <w:rFonts w:ascii="Arial Narrow" w:hAnsi="Arial Narrow" w:cs="Tahoma"/>
          <w:sz w:val="16"/>
          <w:szCs w:val="22"/>
        </w:rPr>
        <w:t>Graph 1. Average net wages of employed persons by month</w:t>
      </w:r>
    </w:p>
    <w:p w:rsidR="00BE051D" w:rsidRPr="007E517E" w:rsidRDefault="00BE051D">
      <w:pPr>
        <w:rPr>
          <w:rFonts w:ascii="Arial Narrow" w:hAnsi="Arial Narrow" w:cs="Tahoma"/>
          <w:sz w:val="22"/>
        </w:rPr>
      </w:pPr>
    </w:p>
    <w:p w:rsidR="00EB2F3C" w:rsidRPr="007E517E" w:rsidRDefault="00EB2F3C">
      <w:pPr>
        <w:rPr>
          <w:rFonts w:ascii="Arial Narrow" w:hAnsi="Arial Narrow" w:cs="Tahoma"/>
          <w:sz w:val="22"/>
        </w:rPr>
      </w:pPr>
    </w:p>
    <w:p w:rsidR="00763D11" w:rsidRPr="007E517E" w:rsidRDefault="00763D11">
      <w:pPr>
        <w:rPr>
          <w:rFonts w:ascii="Arial Narrow" w:hAnsi="Arial Narrow" w:cs="Tahoma"/>
          <w:sz w:val="22"/>
        </w:rPr>
      </w:pPr>
    </w:p>
    <w:p w:rsidR="00877030" w:rsidRPr="007E517E" w:rsidRDefault="00B7371E" w:rsidP="00877030">
      <w:pPr>
        <w:rPr>
          <w:rFonts w:ascii="Arial Narrow" w:hAnsi="Arial Narrow" w:cs="Tahoma"/>
          <w:b/>
          <w:sz w:val="30"/>
          <w:szCs w:val="30"/>
        </w:rPr>
      </w:pPr>
      <w:r w:rsidRPr="007E517E">
        <w:rPr>
          <w:rFonts w:ascii="Arial Narrow" w:hAnsi="Arial Narrow" w:cs="Tahoma"/>
          <w:b/>
          <w:sz w:val="30"/>
          <w:szCs w:val="30"/>
        </w:rPr>
        <w:lastRenderedPageBreak/>
        <w:t>Monthly inflation -0.</w:t>
      </w:r>
      <w:r w:rsidR="00877030" w:rsidRPr="007E517E">
        <w:rPr>
          <w:rFonts w:ascii="Arial Narrow" w:hAnsi="Arial Narrow" w:cs="Tahoma"/>
          <w:b/>
          <w:sz w:val="30"/>
          <w:szCs w:val="30"/>
        </w:rPr>
        <w:t>8%</w:t>
      </w:r>
      <w:r w:rsidRPr="007E517E">
        <w:rPr>
          <w:rFonts w:ascii="Arial Narrow" w:hAnsi="Arial Narrow" w:cs="Tahoma"/>
          <w:b/>
          <w:sz w:val="30"/>
          <w:szCs w:val="30"/>
        </w:rPr>
        <w:t xml:space="preserve"> in July 2015</w:t>
      </w:r>
    </w:p>
    <w:p w:rsidR="00877030" w:rsidRPr="007E517E" w:rsidRDefault="00B7371E" w:rsidP="00877030">
      <w:pPr>
        <w:rPr>
          <w:rFonts w:ascii="Arial Narrow" w:hAnsi="Arial Narrow" w:cs="Tahoma"/>
          <w:b/>
          <w:sz w:val="30"/>
          <w:szCs w:val="30"/>
        </w:rPr>
      </w:pPr>
      <w:r w:rsidRPr="007E517E">
        <w:rPr>
          <w:rFonts w:ascii="Arial Narrow" w:hAnsi="Arial Narrow" w:cs="Tahoma"/>
          <w:b/>
          <w:sz w:val="30"/>
          <w:szCs w:val="30"/>
        </w:rPr>
        <w:t>Annual inflation</w:t>
      </w:r>
      <w:r w:rsidR="00877030" w:rsidRPr="007E517E">
        <w:rPr>
          <w:rFonts w:ascii="Arial Narrow" w:hAnsi="Arial Narrow" w:cs="Tahoma"/>
          <w:b/>
          <w:sz w:val="30"/>
          <w:szCs w:val="30"/>
        </w:rPr>
        <w:t xml:space="preserve"> (</w:t>
      </w:r>
      <w:r w:rsidRPr="007E517E">
        <w:rPr>
          <w:rFonts w:ascii="Arial Narrow" w:hAnsi="Arial Narrow" w:cs="Tahoma"/>
          <w:b/>
          <w:sz w:val="30"/>
          <w:szCs w:val="30"/>
        </w:rPr>
        <w:t>July</w:t>
      </w:r>
      <w:r w:rsidR="00877030" w:rsidRPr="007E517E">
        <w:rPr>
          <w:rFonts w:ascii="Arial Narrow" w:hAnsi="Arial Narrow" w:cs="Tahoma"/>
          <w:b/>
          <w:sz w:val="30"/>
          <w:szCs w:val="30"/>
        </w:rPr>
        <w:t xml:space="preserve"> 2015/</w:t>
      </w:r>
      <w:r w:rsidRPr="007E517E">
        <w:rPr>
          <w:rFonts w:ascii="Arial Narrow" w:hAnsi="Arial Narrow" w:cs="Tahoma"/>
          <w:b/>
          <w:sz w:val="30"/>
          <w:szCs w:val="30"/>
        </w:rPr>
        <w:t>July 2014) -1.</w:t>
      </w:r>
      <w:r w:rsidR="00877030" w:rsidRPr="007E517E">
        <w:rPr>
          <w:rFonts w:ascii="Arial Narrow" w:hAnsi="Arial Narrow" w:cs="Tahoma"/>
          <w:b/>
          <w:sz w:val="30"/>
          <w:szCs w:val="30"/>
        </w:rPr>
        <w:t>6%</w:t>
      </w:r>
    </w:p>
    <w:p w:rsidR="00877030" w:rsidRPr="007E517E" w:rsidRDefault="00877030" w:rsidP="00877030">
      <w:pPr>
        <w:jc w:val="both"/>
        <w:rPr>
          <w:rFonts w:ascii="Tahoma" w:hAnsi="Tahoma" w:cs="Tahoma"/>
        </w:rPr>
      </w:pPr>
    </w:p>
    <w:p w:rsidR="003F6B57" w:rsidRPr="007E517E" w:rsidRDefault="003F6B57" w:rsidP="00877030">
      <w:pPr>
        <w:spacing w:after="120"/>
        <w:jc w:val="both"/>
        <w:rPr>
          <w:rFonts w:ascii="Arial Narrow" w:hAnsi="Arial Narrow" w:cs="Tahoma"/>
          <w:sz w:val="22"/>
          <w:szCs w:val="22"/>
        </w:rPr>
      </w:pPr>
      <w:r w:rsidRPr="007E517E">
        <w:rPr>
          <w:rFonts w:ascii="Arial Narrow" w:hAnsi="Arial Narrow" w:cs="Tahoma"/>
          <w:sz w:val="22"/>
          <w:szCs w:val="22"/>
        </w:rPr>
        <w:t xml:space="preserve">Prices of products and services for personal consumption in Republika Srpska, measured with the consumer price index, in July 2015, compared to the previous month, were on the average 0.8% lower, while at the annual level they were 1.6% lower. </w:t>
      </w:r>
    </w:p>
    <w:p w:rsidR="003F6B57" w:rsidRPr="007E517E" w:rsidRDefault="003F6B57" w:rsidP="00877030">
      <w:pPr>
        <w:spacing w:after="120"/>
        <w:jc w:val="both"/>
        <w:rPr>
          <w:rFonts w:ascii="Arial Narrow" w:hAnsi="Arial Narrow" w:cs="Tahoma"/>
          <w:sz w:val="22"/>
          <w:szCs w:val="22"/>
        </w:rPr>
      </w:pPr>
      <w:r w:rsidRPr="007E517E">
        <w:rPr>
          <w:rFonts w:ascii="Arial Narrow" w:hAnsi="Arial Narrow" w:cs="Tahoma"/>
          <w:sz w:val="22"/>
          <w:szCs w:val="22"/>
        </w:rPr>
        <w:t xml:space="preserve">Of the main 12 divisions of products and services, an increase in prices was recorded in two divisions, a decrease was recorded in four divisions, while prices in six divisions remained on the average at the same level. </w:t>
      </w:r>
    </w:p>
    <w:p w:rsidR="006D4733" w:rsidRPr="007E517E" w:rsidRDefault="006D4733" w:rsidP="00877030">
      <w:pPr>
        <w:spacing w:after="120"/>
        <w:jc w:val="both"/>
        <w:rPr>
          <w:rFonts w:ascii="Arial Narrow" w:hAnsi="Arial Narrow" w:cs="Tahoma"/>
          <w:sz w:val="22"/>
          <w:szCs w:val="22"/>
        </w:rPr>
      </w:pPr>
      <w:r w:rsidRPr="007E517E">
        <w:rPr>
          <w:rFonts w:ascii="Arial Narrow" w:hAnsi="Arial Narrow" w:cs="Tahoma"/>
          <w:sz w:val="22"/>
          <w:szCs w:val="22"/>
        </w:rPr>
        <w:t xml:space="preserve">The highest increase in prices was recorded in the division </w:t>
      </w:r>
      <w:r w:rsidRPr="007E517E">
        <w:rPr>
          <w:rFonts w:ascii="Arial Narrow" w:hAnsi="Arial Narrow" w:cs="Tahoma"/>
          <w:i/>
          <w:sz w:val="22"/>
          <w:szCs w:val="22"/>
        </w:rPr>
        <w:t>Recreation and culture</w:t>
      </w:r>
      <w:r w:rsidRPr="007E517E">
        <w:rPr>
          <w:rFonts w:ascii="Arial Narrow" w:hAnsi="Arial Narrow" w:cs="Tahoma"/>
          <w:sz w:val="22"/>
          <w:szCs w:val="22"/>
        </w:rPr>
        <w:t xml:space="preserve"> (0.6%), due to higher prices in the group package deals (22.7%)</w:t>
      </w:r>
      <w:r w:rsidR="00712D9F" w:rsidRPr="007E517E">
        <w:rPr>
          <w:rFonts w:ascii="Arial Narrow" w:hAnsi="Arial Narrow" w:cs="Tahoma"/>
          <w:sz w:val="22"/>
          <w:szCs w:val="22"/>
        </w:rPr>
        <w:t xml:space="preserve">. Higher prices were also recorded in the division </w:t>
      </w:r>
      <w:r w:rsidR="00712D9F" w:rsidRPr="007E517E">
        <w:rPr>
          <w:rFonts w:ascii="Arial Narrow" w:hAnsi="Arial Narrow" w:cs="Tahoma"/>
          <w:i/>
          <w:sz w:val="22"/>
          <w:szCs w:val="22"/>
        </w:rPr>
        <w:t>Other goods and services</w:t>
      </w:r>
      <w:r w:rsidR="00712D9F" w:rsidRPr="007E517E">
        <w:rPr>
          <w:rFonts w:ascii="Arial Narrow" w:hAnsi="Arial Narrow" w:cs="Tahoma"/>
          <w:sz w:val="22"/>
          <w:szCs w:val="22"/>
        </w:rPr>
        <w:t xml:space="preserve"> (0.2%). </w:t>
      </w:r>
    </w:p>
    <w:p w:rsidR="00712D9F" w:rsidRPr="007E517E" w:rsidRDefault="00712D9F" w:rsidP="00877030">
      <w:pPr>
        <w:spacing w:after="120"/>
        <w:jc w:val="both"/>
        <w:rPr>
          <w:rFonts w:ascii="Arial Narrow" w:hAnsi="Arial Narrow" w:cs="Tahoma"/>
          <w:sz w:val="22"/>
          <w:szCs w:val="22"/>
        </w:rPr>
      </w:pPr>
      <w:r w:rsidRPr="007E517E">
        <w:rPr>
          <w:rFonts w:ascii="Arial Narrow" w:hAnsi="Arial Narrow" w:cs="Tahoma"/>
          <w:sz w:val="22"/>
          <w:szCs w:val="22"/>
        </w:rPr>
        <w:t xml:space="preserve">In the divisions </w:t>
      </w:r>
      <w:r w:rsidRPr="007E517E">
        <w:rPr>
          <w:rFonts w:ascii="Arial Narrow" w:hAnsi="Arial Narrow" w:cs="Tahoma"/>
          <w:i/>
          <w:sz w:val="22"/>
          <w:szCs w:val="22"/>
        </w:rPr>
        <w:t>Alcoholic beverages and tobacco</w:t>
      </w:r>
      <w:r w:rsidRPr="007E517E">
        <w:rPr>
          <w:rFonts w:ascii="Arial Narrow" w:hAnsi="Arial Narrow" w:cs="Tahoma"/>
          <w:sz w:val="22"/>
          <w:szCs w:val="22"/>
        </w:rPr>
        <w:t xml:space="preserve">, </w:t>
      </w:r>
      <w:r w:rsidRPr="007E517E">
        <w:rPr>
          <w:rFonts w:ascii="Arial Narrow" w:hAnsi="Arial Narrow" w:cs="Tahoma"/>
          <w:i/>
          <w:sz w:val="22"/>
          <w:szCs w:val="22"/>
        </w:rPr>
        <w:t>Housing</w:t>
      </w:r>
      <w:r w:rsidRPr="007E517E">
        <w:rPr>
          <w:rFonts w:ascii="Arial Narrow" w:hAnsi="Arial Narrow" w:cs="Tahoma"/>
          <w:sz w:val="22"/>
          <w:szCs w:val="22"/>
        </w:rPr>
        <w:t xml:space="preserve">, </w:t>
      </w:r>
      <w:r w:rsidRPr="007E517E">
        <w:rPr>
          <w:rFonts w:ascii="Arial Narrow" w:hAnsi="Arial Narrow" w:cs="Tahoma"/>
          <w:i/>
          <w:sz w:val="22"/>
          <w:szCs w:val="22"/>
        </w:rPr>
        <w:t>Health care</w:t>
      </w:r>
      <w:r w:rsidRPr="007E517E">
        <w:rPr>
          <w:rFonts w:ascii="Arial Narrow" w:hAnsi="Arial Narrow" w:cs="Tahoma"/>
          <w:sz w:val="22"/>
          <w:szCs w:val="22"/>
        </w:rPr>
        <w:t xml:space="preserve">, </w:t>
      </w:r>
      <w:r w:rsidRPr="007E517E">
        <w:rPr>
          <w:rFonts w:ascii="Arial Narrow" w:hAnsi="Arial Narrow" w:cs="Tahoma"/>
          <w:i/>
          <w:sz w:val="22"/>
          <w:szCs w:val="22"/>
        </w:rPr>
        <w:t>Communications</w:t>
      </w:r>
      <w:r w:rsidRPr="007E517E">
        <w:rPr>
          <w:rFonts w:ascii="Arial Narrow" w:hAnsi="Arial Narrow" w:cs="Tahoma"/>
          <w:sz w:val="22"/>
          <w:szCs w:val="22"/>
        </w:rPr>
        <w:t xml:space="preserve">, </w:t>
      </w:r>
      <w:r w:rsidRPr="007E517E">
        <w:rPr>
          <w:rFonts w:ascii="Arial Narrow" w:hAnsi="Arial Narrow" w:cs="Tahoma"/>
          <w:i/>
          <w:sz w:val="22"/>
          <w:szCs w:val="22"/>
        </w:rPr>
        <w:t>Education</w:t>
      </w:r>
      <w:r w:rsidRPr="007E517E">
        <w:rPr>
          <w:rFonts w:ascii="Arial Narrow" w:hAnsi="Arial Narrow" w:cs="Tahoma"/>
          <w:sz w:val="22"/>
          <w:szCs w:val="22"/>
        </w:rPr>
        <w:t xml:space="preserve">, and </w:t>
      </w:r>
      <w:r w:rsidRPr="007E517E">
        <w:rPr>
          <w:rFonts w:ascii="Arial Narrow" w:hAnsi="Arial Narrow" w:cs="Tahoma"/>
          <w:i/>
          <w:sz w:val="22"/>
          <w:szCs w:val="22"/>
        </w:rPr>
        <w:t>Restaurants and hotels</w:t>
      </w:r>
      <w:r w:rsidRPr="007E517E">
        <w:rPr>
          <w:rFonts w:ascii="Arial Narrow" w:hAnsi="Arial Narrow" w:cs="Tahoma"/>
          <w:sz w:val="22"/>
          <w:szCs w:val="22"/>
        </w:rPr>
        <w:t xml:space="preserve"> prices remained on the average at the same level. </w:t>
      </w:r>
    </w:p>
    <w:p w:rsidR="003206D9" w:rsidRPr="007E517E" w:rsidRDefault="00712D9F" w:rsidP="00877030">
      <w:pPr>
        <w:jc w:val="both"/>
        <w:rPr>
          <w:rFonts w:ascii="Arial Narrow" w:hAnsi="Arial Narrow" w:cs="Tahoma"/>
          <w:sz w:val="22"/>
          <w:szCs w:val="22"/>
        </w:rPr>
      </w:pPr>
      <w:r w:rsidRPr="007E517E">
        <w:rPr>
          <w:rFonts w:ascii="Arial Narrow" w:hAnsi="Arial Narrow" w:cs="Tahoma"/>
          <w:sz w:val="22"/>
          <w:szCs w:val="22"/>
        </w:rPr>
        <w:t xml:space="preserve">The highest decrease in prices in July was recorded in the division </w:t>
      </w:r>
      <w:r w:rsidRPr="007E517E">
        <w:rPr>
          <w:rFonts w:ascii="Arial Narrow" w:hAnsi="Arial Narrow" w:cs="Tahoma"/>
          <w:i/>
          <w:sz w:val="22"/>
          <w:szCs w:val="22"/>
        </w:rPr>
        <w:t>Clothing and footwear</w:t>
      </w:r>
      <w:r w:rsidRPr="007E517E">
        <w:rPr>
          <w:rFonts w:ascii="Arial Narrow" w:hAnsi="Arial Narrow" w:cs="Tahoma"/>
          <w:sz w:val="22"/>
          <w:szCs w:val="22"/>
        </w:rPr>
        <w:t xml:space="preserve"> (4.9%), due to further seasonal discounts, and in the division </w:t>
      </w:r>
      <w:r w:rsidRPr="007E517E">
        <w:rPr>
          <w:rFonts w:ascii="Arial Narrow" w:hAnsi="Arial Narrow" w:cs="Tahoma"/>
          <w:i/>
          <w:sz w:val="22"/>
          <w:szCs w:val="22"/>
        </w:rPr>
        <w:t>Food and non-alcoholic beverages</w:t>
      </w:r>
      <w:r w:rsidRPr="007E517E">
        <w:rPr>
          <w:rFonts w:ascii="Arial Narrow" w:hAnsi="Arial Narrow" w:cs="Tahoma"/>
          <w:sz w:val="22"/>
          <w:szCs w:val="22"/>
        </w:rPr>
        <w:t xml:space="preserve"> (1.8%), due to lower (seasonal prices) in the group fresh vegetables (14.1%) and in the group fruit (2.1%). </w:t>
      </w:r>
    </w:p>
    <w:p w:rsidR="00712D9F" w:rsidRPr="007E517E" w:rsidRDefault="00712D9F" w:rsidP="00877030">
      <w:pPr>
        <w:jc w:val="both"/>
        <w:rPr>
          <w:rFonts w:ascii="Arial Narrow" w:hAnsi="Arial Narrow" w:cs="Tahoma"/>
          <w:sz w:val="22"/>
          <w:szCs w:val="22"/>
        </w:rPr>
      </w:pPr>
      <w:r w:rsidRPr="007E517E">
        <w:rPr>
          <w:rFonts w:ascii="Arial Narrow" w:hAnsi="Arial Narrow" w:cs="Tahoma"/>
          <w:sz w:val="22"/>
          <w:szCs w:val="22"/>
        </w:rPr>
        <w:br/>
        <w:t xml:space="preserve">A slight decrease in prices was also recorded in the divisions </w:t>
      </w:r>
      <w:r w:rsidRPr="007E517E">
        <w:rPr>
          <w:rFonts w:ascii="Arial Narrow" w:hAnsi="Arial Narrow" w:cs="Tahoma"/>
          <w:i/>
          <w:sz w:val="22"/>
          <w:szCs w:val="22"/>
        </w:rPr>
        <w:t>Furnishings and other equipment</w:t>
      </w:r>
      <w:r w:rsidRPr="007E517E">
        <w:rPr>
          <w:rFonts w:ascii="Arial Narrow" w:hAnsi="Arial Narrow" w:cs="Tahoma"/>
          <w:sz w:val="22"/>
          <w:szCs w:val="22"/>
        </w:rPr>
        <w:t xml:space="preserve"> (0.5%) and </w:t>
      </w:r>
      <w:r w:rsidRPr="007E517E">
        <w:rPr>
          <w:rFonts w:ascii="Arial Narrow" w:hAnsi="Arial Narrow" w:cs="Tahoma"/>
          <w:i/>
          <w:sz w:val="22"/>
          <w:szCs w:val="22"/>
        </w:rPr>
        <w:t>Transport</w:t>
      </w:r>
      <w:r w:rsidRPr="007E517E">
        <w:rPr>
          <w:rFonts w:ascii="Arial Narrow" w:hAnsi="Arial Narrow" w:cs="Tahoma"/>
          <w:sz w:val="22"/>
          <w:szCs w:val="22"/>
        </w:rPr>
        <w:t xml:space="preserve"> (0.1%). </w:t>
      </w:r>
    </w:p>
    <w:p w:rsidR="00877030" w:rsidRPr="007E517E" w:rsidRDefault="00877030" w:rsidP="00877030">
      <w:pPr>
        <w:jc w:val="both"/>
        <w:rPr>
          <w:rFonts w:ascii="Arial Narrow" w:hAnsi="Arial Narrow" w:cs="Tahoma"/>
          <w:sz w:val="22"/>
          <w:szCs w:val="22"/>
        </w:rPr>
      </w:pPr>
    </w:p>
    <w:p w:rsidR="007B3C79" w:rsidRPr="007E517E" w:rsidRDefault="007B3C79" w:rsidP="00877030">
      <w:pPr>
        <w:jc w:val="both"/>
        <w:rPr>
          <w:rFonts w:ascii="Arial Narrow" w:hAnsi="Arial Narrow" w:cs="Tahoma"/>
          <w:sz w:val="22"/>
          <w:szCs w:val="22"/>
        </w:rPr>
      </w:pPr>
    </w:p>
    <w:p w:rsidR="00EB2F3C" w:rsidRPr="007E517E" w:rsidRDefault="00EB2F3C" w:rsidP="009A0B74">
      <w:pPr>
        <w:jc w:val="both"/>
        <w:rPr>
          <w:rFonts w:ascii="Arial Narrow" w:hAnsi="Arial Narrow" w:cs="Tahoma"/>
          <w:sz w:val="22"/>
          <w:szCs w:val="22"/>
        </w:rPr>
      </w:pPr>
    </w:p>
    <w:p w:rsidR="000213F8" w:rsidRPr="007E517E" w:rsidRDefault="00B91DEC" w:rsidP="000213F8">
      <w:pPr>
        <w:tabs>
          <w:tab w:val="left" w:pos="0"/>
          <w:tab w:val="left" w:pos="1100"/>
        </w:tabs>
        <w:jc w:val="both"/>
        <w:rPr>
          <w:rFonts w:ascii="Arial Narrow" w:hAnsi="Arial Narrow" w:cs="Tahoma"/>
          <w:b/>
          <w:bCs/>
          <w:sz w:val="30"/>
          <w:szCs w:val="30"/>
        </w:rPr>
      </w:pPr>
      <w:r w:rsidRPr="007E517E">
        <w:rPr>
          <w:rFonts w:ascii="Arial Narrow" w:hAnsi="Arial Narrow" w:cs="Tahoma"/>
          <w:b/>
          <w:bCs/>
          <w:sz w:val="30"/>
          <w:szCs w:val="30"/>
        </w:rPr>
        <w:t>Working-day adjusted industrial production</w:t>
      </w:r>
      <w:r w:rsidRPr="007E517E">
        <w:rPr>
          <w:rFonts w:ascii="Arial Narrow" w:hAnsi="Arial Narrow" w:cs="Tahoma"/>
          <w:b/>
          <w:sz w:val="30"/>
          <w:szCs w:val="30"/>
        </w:rPr>
        <w:t xml:space="preserve"> </w:t>
      </w:r>
      <w:r w:rsidR="000213F8" w:rsidRPr="007E517E">
        <w:rPr>
          <w:rFonts w:ascii="Arial Narrow" w:hAnsi="Arial Narrow" w:cs="Tahoma"/>
          <w:b/>
          <w:sz w:val="30"/>
          <w:szCs w:val="30"/>
        </w:rPr>
        <w:t>(</w:t>
      </w:r>
      <w:r w:rsidRPr="007E517E">
        <w:rPr>
          <w:rFonts w:ascii="Arial Narrow" w:hAnsi="Arial Narrow" w:cs="Tahoma"/>
          <w:b/>
          <w:sz w:val="30"/>
          <w:szCs w:val="30"/>
        </w:rPr>
        <w:t>July</w:t>
      </w:r>
      <w:r w:rsidR="000213F8" w:rsidRPr="007E517E">
        <w:rPr>
          <w:rFonts w:ascii="Arial Narrow" w:hAnsi="Arial Narrow" w:cs="Tahoma"/>
          <w:b/>
          <w:sz w:val="30"/>
          <w:szCs w:val="30"/>
        </w:rPr>
        <w:t xml:space="preserve"> 201</w:t>
      </w:r>
      <w:r w:rsidR="00284295" w:rsidRPr="007E517E">
        <w:rPr>
          <w:rFonts w:ascii="Arial Narrow" w:hAnsi="Arial Narrow" w:cs="Tahoma"/>
          <w:b/>
          <w:sz w:val="30"/>
          <w:szCs w:val="30"/>
        </w:rPr>
        <w:t>5</w:t>
      </w:r>
      <w:r w:rsidR="000213F8" w:rsidRPr="007E517E">
        <w:rPr>
          <w:rFonts w:ascii="Arial Narrow" w:hAnsi="Arial Narrow" w:cs="Tahoma"/>
          <w:b/>
          <w:sz w:val="30"/>
          <w:szCs w:val="30"/>
        </w:rPr>
        <w:t>/</w:t>
      </w:r>
      <w:r w:rsidRPr="007E517E">
        <w:rPr>
          <w:rFonts w:ascii="Arial Narrow" w:hAnsi="Arial Narrow" w:cs="Tahoma"/>
          <w:b/>
          <w:sz w:val="30"/>
          <w:szCs w:val="30"/>
        </w:rPr>
        <w:t>July</w:t>
      </w:r>
      <w:r w:rsidR="000213F8" w:rsidRPr="007E517E">
        <w:rPr>
          <w:rFonts w:ascii="Arial Narrow" w:hAnsi="Arial Narrow" w:cs="Tahoma"/>
          <w:b/>
          <w:bCs/>
          <w:sz w:val="30"/>
          <w:szCs w:val="30"/>
        </w:rPr>
        <w:t xml:space="preserve"> 201</w:t>
      </w:r>
      <w:r w:rsidR="00284295" w:rsidRPr="007E517E">
        <w:rPr>
          <w:rFonts w:ascii="Arial Narrow" w:hAnsi="Arial Narrow" w:cs="Tahoma"/>
          <w:b/>
          <w:bCs/>
          <w:sz w:val="30"/>
          <w:szCs w:val="30"/>
        </w:rPr>
        <w:t>4</w:t>
      </w:r>
      <w:r w:rsidR="000213F8" w:rsidRPr="007E517E">
        <w:rPr>
          <w:rFonts w:ascii="Arial Narrow" w:hAnsi="Arial Narrow" w:cs="Tahoma"/>
          <w:b/>
          <w:bCs/>
          <w:sz w:val="30"/>
          <w:szCs w:val="30"/>
        </w:rPr>
        <w:t xml:space="preserve">) </w:t>
      </w:r>
      <w:r w:rsidRPr="007E517E">
        <w:rPr>
          <w:rFonts w:ascii="Arial Narrow" w:hAnsi="Arial Narrow" w:cs="Tahoma"/>
          <w:b/>
          <w:bCs/>
          <w:sz w:val="30"/>
          <w:szCs w:val="30"/>
        </w:rPr>
        <w:t>increased by</w:t>
      </w:r>
      <w:r w:rsidR="000213F8" w:rsidRPr="007E517E">
        <w:rPr>
          <w:rFonts w:ascii="Arial Narrow" w:hAnsi="Arial Narrow" w:cs="Tahoma"/>
          <w:b/>
          <w:bCs/>
          <w:sz w:val="30"/>
          <w:szCs w:val="30"/>
        </w:rPr>
        <w:t xml:space="preserve"> </w:t>
      </w:r>
      <w:r w:rsidR="00F50BA9" w:rsidRPr="007E517E">
        <w:rPr>
          <w:rFonts w:ascii="Arial Narrow" w:hAnsi="Arial Narrow" w:cs="Tahoma"/>
          <w:b/>
          <w:bCs/>
          <w:sz w:val="30"/>
          <w:szCs w:val="30"/>
        </w:rPr>
        <w:t>1</w:t>
      </w:r>
      <w:r w:rsidRPr="007E517E">
        <w:rPr>
          <w:rFonts w:ascii="Arial Narrow" w:hAnsi="Arial Narrow" w:cs="Tahoma"/>
          <w:b/>
          <w:bCs/>
          <w:sz w:val="30"/>
          <w:szCs w:val="30"/>
        </w:rPr>
        <w:t>.</w:t>
      </w:r>
      <w:r w:rsidR="00F50BA9" w:rsidRPr="007E517E">
        <w:rPr>
          <w:rFonts w:ascii="Arial Narrow" w:hAnsi="Arial Narrow" w:cs="Tahoma"/>
          <w:b/>
          <w:bCs/>
          <w:sz w:val="30"/>
          <w:szCs w:val="30"/>
        </w:rPr>
        <w:t>5</w:t>
      </w:r>
      <w:r w:rsidR="000213F8" w:rsidRPr="007E517E">
        <w:rPr>
          <w:rFonts w:ascii="Arial Narrow" w:hAnsi="Arial Narrow" w:cs="Tahoma"/>
          <w:b/>
          <w:bCs/>
          <w:sz w:val="30"/>
          <w:szCs w:val="30"/>
        </w:rPr>
        <w:t>%</w:t>
      </w:r>
    </w:p>
    <w:p w:rsidR="000213F8" w:rsidRPr="007E517E" w:rsidRDefault="00B91DEC" w:rsidP="000213F8">
      <w:pPr>
        <w:tabs>
          <w:tab w:val="left" w:pos="0"/>
          <w:tab w:val="left" w:pos="1100"/>
        </w:tabs>
        <w:jc w:val="both"/>
        <w:rPr>
          <w:rFonts w:ascii="Arial Narrow" w:hAnsi="Arial Narrow" w:cs="Tahoma"/>
          <w:b/>
          <w:spacing w:val="-4"/>
          <w:sz w:val="36"/>
          <w:szCs w:val="28"/>
        </w:rPr>
      </w:pPr>
      <w:r w:rsidRPr="007E517E">
        <w:rPr>
          <w:rFonts w:ascii="Arial Narrow" w:hAnsi="Arial Narrow" w:cs="Tahoma"/>
          <w:b/>
          <w:sz w:val="28"/>
        </w:rPr>
        <w:t xml:space="preserve">Number of employees in industry </w:t>
      </w:r>
      <w:r w:rsidR="00F50BA9" w:rsidRPr="007E517E">
        <w:rPr>
          <w:rFonts w:ascii="Arial Narrow" w:hAnsi="Arial Narrow" w:cs="Tahoma"/>
          <w:b/>
          <w:sz w:val="30"/>
          <w:szCs w:val="30"/>
        </w:rPr>
        <w:t>(</w:t>
      </w:r>
      <w:r w:rsidRPr="007E517E">
        <w:rPr>
          <w:rFonts w:ascii="Arial Narrow" w:hAnsi="Arial Narrow" w:cs="Tahoma"/>
          <w:b/>
          <w:sz w:val="30"/>
          <w:szCs w:val="30"/>
        </w:rPr>
        <w:t xml:space="preserve">July </w:t>
      </w:r>
      <w:r w:rsidR="00F50BA9" w:rsidRPr="007E517E">
        <w:rPr>
          <w:rFonts w:ascii="Arial Narrow" w:hAnsi="Arial Narrow" w:cs="Tahoma"/>
          <w:b/>
          <w:sz w:val="30"/>
          <w:szCs w:val="30"/>
        </w:rPr>
        <w:t>2015/</w:t>
      </w:r>
      <w:r w:rsidRPr="007E517E">
        <w:rPr>
          <w:rFonts w:ascii="Arial Narrow" w:hAnsi="Arial Narrow" w:cs="Tahoma"/>
          <w:b/>
          <w:sz w:val="30"/>
          <w:szCs w:val="30"/>
        </w:rPr>
        <w:t xml:space="preserve">July </w:t>
      </w:r>
      <w:r w:rsidR="00F50BA9" w:rsidRPr="007E517E">
        <w:rPr>
          <w:rFonts w:ascii="Arial Narrow" w:hAnsi="Arial Narrow" w:cs="Tahoma"/>
          <w:b/>
          <w:bCs/>
          <w:sz w:val="30"/>
          <w:szCs w:val="30"/>
        </w:rPr>
        <w:t>2014</w:t>
      </w:r>
      <w:r w:rsidR="00F50BA9" w:rsidRPr="007E517E">
        <w:rPr>
          <w:rFonts w:ascii="Arial Narrow" w:hAnsi="Arial Narrow" w:cs="Tahoma"/>
          <w:b/>
          <w:sz w:val="28"/>
        </w:rPr>
        <w:t>)</w:t>
      </w:r>
      <w:r w:rsidR="000213F8" w:rsidRPr="007E517E">
        <w:rPr>
          <w:rFonts w:ascii="Arial Narrow" w:hAnsi="Arial Narrow" w:cs="Tahoma"/>
          <w:b/>
          <w:sz w:val="28"/>
        </w:rPr>
        <w:t xml:space="preserve"> </w:t>
      </w:r>
      <w:r w:rsidRPr="007E517E">
        <w:rPr>
          <w:rFonts w:ascii="Arial Narrow" w:hAnsi="Arial Narrow" w:cs="Tahoma"/>
          <w:b/>
          <w:sz w:val="28"/>
        </w:rPr>
        <w:t>increased by</w:t>
      </w:r>
      <w:r w:rsidR="000213F8" w:rsidRPr="007E517E">
        <w:rPr>
          <w:rFonts w:ascii="Arial Narrow" w:hAnsi="Arial Narrow" w:cs="Tahoma"/>
          <w:b/>
          <w:sz w:val="28"/>
        </w:rPr>
        <w:t xml:space="preserve"> </w:t>
      </w:r>
      <w:r w:rsidR="00CF171D" w:rsidRPr="007E517E">
        <w:rPr>
          <w:rFonts w:ascii="Arial Narrow" w:hAnsi="Arial Narrow" w:cs="Tahoma"/>
          <w:b/>
          <w:sz w:val="28"/>
        </w:rPr>
        <w:t>1</w:t>
      </w:r>
      <w:r w:rsidRPr="007E517E">
        <w:rPr>
          <w:rFonts w:ascii="Arial Narrow" w:hAnsi="Arial Narrow" w:cs="Tahoma"/>
          <w:b/>
          <w:sz w:val="28"/>
        </w:rPr>
        <w:t>.</w:t>
      </w:r>
      <w:r w:rsidR="00F50BA9" w:rsidRPr="007E517E">
        <w:rPr>
          <w:rFonts w:ascii="Arial Narrow" w:hAnsi="Arial Narrow" w:cs="Tahoma"/>
          <w:b/>
          <w:sz w:val="28"/>
        </w:rPr>
        <w:t>8</w:t>
      </w:r>
      <w:r w:rsidR="000213F8" w:rsidRPr="007E517E">
        <w:rPr>
          <w:rFonts w:ascii="Arial Narrow" w:hAnsi="Arial Narrow" w:cs="Tahoma"/>
          <w:b/>
          <w:sz w:val="28"/>
        </w:rPr>
        <w:t>%</w:t>
      </w:r>
    </w:p>
    <w:p w:rsidR="000213F8" w:rsidRPr="007E517E" w:rsidRDefault="000213F8" w:rsidP="000213F8">
      <w:pPr>
        <w:tabs>
          <w:tab w:val="left" w:pos="0"/>
          <w:tab w:val="left" w:pos="1100"/>
        </w:tabs>
        <w:jc w:val="both"/>
        <w:rPr>
          <w:rFonts w:ascii="Tahoma" w:hAnsi="Tahoma" w:cs="Tahoma"/>
          <w:spacing w:val="-4"/>
        </w:rPr>
      </w:pPr>
    </w:p>
    <w:p w:rsidR="00B16ABA" w:rsidRPr="007E517E" w:rsidRDefault="00B16ABA" w:rsidP="000213F8">
      <w:pPr>
        <w:jc w:val="both"/>
        <w:rPr>
          <w:rFonts w:ascii="Arial Narrow" w:hAnsi="Arial Narrow" w:cs="Tahoma"/>
          <w:sz w:val="22"/>
        </w:rPr>
      </w:pPr>
      <w:r w:rsidRPr="007E517E">
        <w:rPr>
          <w:rFonts w:ascii="Arial Narrow" w:hAnsi="Arial Narrow" w:cs="Tahoma"/>
          <w:b/>
          <w:sz w:val="22"/>
        </w:rPr>
        <w:t>Working-day adjusted industrial production</w:t>
      </w:r>
      <w:r w:rsidR="000213F8" w:rsidRPr="007E517E">
        <w:rPr>
          <w:rFonts w:ascii="Arial Narrow" w:hAnsi="Arial Narrow" w:cs="Tahoma"/>
          <w:sz w:val="22"/>
        </w:rPr>
        <w:t xml:space="preserve"> </w:t>
      </w:r>
      <w:r w:rsidRPr="007E517E">
        <w:rPr>
          <w:rFonts w:ascii="Arial Narrow" w:hAnsi="Arial Narrow" w:cs="Tahoma"/>
          <w:sz w:val="22"/>
        </w:rPr>
        <w:t>in July</w:t>
      </w:r>
      <w:r w:rsidR="000213F8" w:rsidRPr="007E517E">
        <w:rPr>
          <w:rFonts w:ascii="Arial Narrow" w:hAnsi="Arial Narrow" w:cs="Tahoma"/>
          <w:spacing w:val="-2"/>
          <w:sz w:val="22"/>
        </w:rPr>
        <w:t xml:space="preserve"> </w:t>
      </w:r>
      <w:r w:rsidR="000213F8" w:rsidRPr="007E517E">
        <w:rPr>
          <w:rFonts w:ascii="Arial Narrow" w:hAnsi="Arial Narrow" w:cs="Tahoma"/>
          <w:sz w:val="22"/>
        </w:rPr>
        <w:t>201</w:t>
      </w:r>
      <w:r w:rsidR="00284295" w:rsidRPr="007E517E">
        <w:rPr>
          <w:rFonts w:ascii="Arial Narrow" w:hAnsi="Arial Narrow" w:cs="Tahoma"/>
          <w:sz w:val="22"/>
        </w:rPr>
        <w:t>5</w:t>
      </w:r>
      <w:r w:rsidRPr="007E517E">
        <w:rPr>
          <w:rFonts w:ascii="Arial Narrow" w:hAnsi="Arial Narrow" w:cs="Tahoma"/>
          <w:sz w:val="22"/>
        </w:rPr>
        <w:t xml:space="preserve">, compared to July 2014, increased by 1.5%. In the section </w:t>
      </w:r>
      <w:r w:rsidRPr="007E517E">
        <w:rPr>
          <w:rFonts w:ascii="Arial Narrow" w:hAnsi="Arial Narrow" w:cs="Tahoma"/>
          <w:i/>
          <w:sz w:val="22"/>
        </w:rPr>
        <w:t xml:space="preserve">Mining and quarrying </w:t>
      </w:r>
      <w:r w:rsidRPr="007E517E">
        <w:rPr>
          <w:rFonts w:ascii="Arial Narrow" w:hAnsi="Arial Narrow" w:cs="Tahoma"/>
          <w:sz w:val="22"/>
        </w:rPr>
        <w:t xml:space="preserve">an increase by 19.5% was recorded, in the section </w:t>
      </w:r>
      <w:r w:rsidRPr="007E517E">
        <w:rPr>
          <w:rFonts w:ascii="Arial Narrow" w:hAnsi="Arial Narrow" w:cs="Tahoma"/>
          <w:i/>
          <w:sz w:val="22"/>
          <w:szCs w:val="22"/>
        </w:rPr>
        <w:t xml:space="preserve">Electricity, gas, steam and air-conditioning supply </w:t>
      </w:r>
      <w:r w:rsidRPr="007E517E">
        <w:rPr>
          <w:rFonts w:ascii="Arial Narrow" w:hAnsi="Arial Narrow" w:cs="Tahoma"/>
          <w:sz w:val="22"/>
          <w:szCs w:val="22"/>
        </w:rPr>
        <w:t xml:space="preserve">an increase by 8.4%, while in the section </w:t>
      </w:r>
      <w:r w:rsidRPr="007E517E">
        <w:rPr>
          <w:rFonts w:ascii="Arial Narrow" w:hAnsi="Arial Narrow" w:cs="Tahoma"/>
          <w:i/>
          <w:sz w:val="22"/>
          <w:szCs w:val="22"/>
        </w:rPr>
        <w:t>Manufacturing</w:t>
      </w:r>
      <w:r w:rsidRPr="007E517E">
        <w:rPr>
          <w:rFonts w:ascii="Arial Narrow" w:hAnsi="Arial Narrow" w:cs="Tahoma"/>
          <w:sz w:val="22"/>
          <w:szCs w:val="22"/>
        </w:rPr>
        <w:t xml:space="preserve"> a decrease by 1.8% was recorded. </w:t>
      </w:r>
      <w:r w:rsidRPr="007E517E">
        <w:rPr>
          <w:rFonts w:ascii="Arial Narrow" w:hAnsi="Arial Narrow" w:cs="Tahoma"/>
          <w:sz w:val="22"/>
        </w:rPr>
        <w:t xml:space="preserve">By main industrial group, based on economic purpose of products, working-day adjusted production of consumer durables in July 2015, compared to July 2014, was 20.6% higher, production of intermediate goods was 6.1% higher, production of consumer non-durables was 4.3% higher and production of energy was 1.4% higher, while production of capital goods was 20.7% lower. </w:t>
      </w:r>
    </w:p>
    <w:p w:rsidR="00B16ABA" w:rsidRPr="007E517E" w:rsidRDefault="00B16ABA" w:rsidP="000213F8">
      <w:pPr>
        <w:jc w:val="both"/>
        <w:rPr>
          <w:rFonts w:ascii="Arial Narrow" w:hAnsi="Arial Narrow" w:cs="Tahoma"/>
          <w:sz w:val="22"/>
        </w:rPr>
      </w:pPr>
    </w:p>
    <w:p w:rsidR="00FE2825" w:rsidRPr="007E517E" w:rsidRDefault="00B16ABA" w:rsidP="00FE2825">
      <w:pPr>
        <w:jc w:val="both"/>
        <w:rPr>
          <w:rFonts w:ascii="Arial Narrow" w:hAnsi="Arial Narrow" w:cs="Tahoma"/>
          <w:sz w:val="22"/>
        </w:rPr>
      </w:pPr>
      <w:r w:rsidRPr="007E517E">
        <w:rPr>
          <w:rFonts w:ascii="Arial Narrow" w:hAnsi="Arial Narrow" w:cs="Tahoma"/>
          <w:b/>
          <w:sz w:val="22"/>
        </w:rPr>
        <w:t>Number of employees in industry</w:t>
      </w:r>
      <w:r w:rsidRPr="007E517E">
        <w:rPr>
          <w:rFonts w:ascii="Arial Narrow" w:hAnsi="Arial Narrow" w:cs="Tahoma"/>
          <w:sz w:val="22"/>
        </w:rPr>
        <w:t xml:space="preserve"> in July 2015, compared to the same month of the previous year, increased by 1.8%. Compared to the average monthly number of employed persons in 2014 it was 1.7% higher and compared to June 2015 it was 0.1% higher. </w:t>
      </w:r>
      <w:r w:rsidR="00FE2825" w:rsidRPr="007E517E">
        <w:rPr>
          <w:rFonts w:ascii="Arial Narrow" w:hAnsi="Arial Narrow" w:cs="Tahoma"/>
          <w:sz w:val="22"/>
        </w:rPr>
        <w:t xml:space="preserve">Number of employees in industry in the period January – July 2015, compared to the same period of the previous year, was 1.4% higher. During the same period, in the section </w:t>
      </w:r>
      <w:r w:rsidR="00FE2825" w:rsidRPr="007E517E">
        <w:rPr>
          <w:rFonts w:ascii="Arial Narrow" w:hAnsi="Arial Narrow" w:cs="Tahoma"/>
          <w:i/>
          <w:spacing w:val="-2"/>
          <w:sz w:val="22"/>
        </w:rPr>
        <w:t xml:space="preserve">Electricity, gas, steam and air-conditioning supply </w:t>
      </w:r>
      <w:r w:rsidR="00FE2825" w:rsidRPr="007E517E">
        <w:rPr>
          <w:rFonts w:ascii="Arial Narrow" w:hAnsi="Arial Narrow" w:cs="Tahoma"/>
          <w:spacing w:val="-2"/>
          <w:sz w:val="22"/>
        </w:rPr>
        <w:t xml:space="preserve">an increase by 4.8% was recorded, in the section </w:t>
      </w:r>
      <w:r w:rsidR="00FE2825" w:rsidRPr="007E517E">
        <w:rPr>
          <w:rFonts w:ascii="Arial Narrow" w:hAnsi="Arial Narrow" w:cs="Tahoma"/>
          <w:i/>
          <w:spacing w:val="-2"/>
          <w:sz w:val="22"/>
        </w:rPr>
        <w:t xml:space="preserve">Mining and quarrying </w:t>
      </w:r>
      <w:r w:rsidR="00FE2825" w:rsidRPr="007E517E">
        <w:rPr>
          <w:rFonts w:ascii="Arial Narrow" w:hAnsi="Arial Narrow" w:cs="Tahoma"/>
          <w:spacing w:val="-2"/>
          <w:sz w:val="22"/>
        </w:rPr>
        <w:t xml:space="preserve">an increase by 2.7% and in the section </w:t>
      </w:r>
      <w:r w:rsidR="00FE2825" w:rsidRPr="007E517E">
        <w:rPr>
          <w:rFonts w:ascii="Arial Narrow" w:hAnsi="Arial Narrow" w:cs="Tahoma"/>
          <w:i/>
          <w:spacing w:val="-2"/>
          <w:sz w:val="22"/>
        </w:rPr>
        <w:t>Manufacturing</w:t>
      </w:r>
      <w:r w:rsidR="00FE2825" w:rsidRPr="007E517E">
        <w:rPr>
          <w:rFonts w:ascii="Arial Narrow" w:hAnsi="Arial Narrow" w:cs="Tahoma"/>
          <w:spacing w:val="-2"/>
          <w:sz w:val="22"/>
        </w:rPr>
        <w:t xml:space="preserve"> an increase by 0.7% was recorded. </w:t>
      </w:r>
    </w:p>
    <w:p w:rsidR="00B16ABA" w:rsidRPr="007E517E" w:rsidRDefault="00B16ABA" w:rsidP="000213F8">
      <w:pPr>
        <w:jc w:val="both"/>
        <w:rPr>
          <w:rFonts w:ascii="Arial Narrow" w:hAnsi="Arial Narrow" w:cs="Tahoma"/>
          <w:sz w:val="22"/>
        </w:rPr>
      </w:pPr>
    </w:p>
    <w:p w:rsidR="00AF50DA" w:rsidRPr="007E517E" w:rsidRDefault="00AF50DA" w:rsidP="000213F8">
      <w:pPr>
        <w:jc w:val="both"/>
        <w:rPr>
          <w:rFonts w:ascii="Arial Narrow" w:hAnsi="Arial Narrow" w:cs="Tahoma"/>
          <w:b/>
          <w:sz w:val="22"/>
        </w:rPr>
      </w:pPr>
    </w:p>
    <w:p w:rsidR="000213F8" w:rsidRPr="007E517E" w:rsidRDefault="000213F8" w:rsidP="000213F8">
      <w:pPr>
        <w:jc w:val="both"/>
        <w:rPr>
          <w:rFonts w:ascii="Arial Narrow" w:hAnsi="Arial Narrow" w:cs="Tahoma"/>
          <w:sz w:val="22"/>
        </w:rPr>
      </w:pPr>
    </w:p>
    <w:p w:rsidR="000213F8" w:rsidRPr="007E517E" w:rsidRDefault="00ED2B92" w:rsidP="00DC2009">
      <w:pPr>
        <w:jc w:val="center"/>
        <w:rPr>
          <w:rFonts w:ascii="Arial Narrow" w:hAnsi="Arial Narrow" w:cs="Tahoma"/>
          <w:sz w:val="22"/>
          <w:szCs w:val="22"/>
        </w:rPr>
      </w:pPr>
      <w:r w:rsidRPr="007E517E">
        <w:rPr>
          <w:noProof/>
        </w:rPr>
        <w:lastRenderedPageBreak/>
        <w:drawing>
          <wp:inline distT="0" distB="0" distL="0" distR="0">
            <wp:extent cx="6480810" cy="305311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5D9D" w:rsidRPr="007E517E" w:rsidRDefault="007F0985" w:rsidP="00B85D9D">
      <w:pPr>
        <w:jc w:val="center"/>
        <w:rPr>
          <w:rFonts w:ascii="Arial Narrow" w:hAnsi="Arial Narrow" w:cs="Tahoma"/>
          <w:sz w:val="16"/>
          <w:szCs w:val="16"/>
        </w:rPr>
      </w:pPr>
      <w:r w:rsidRPr="007E517E">
        <w:rPr>
          <w:rFonts w:ascii="Arial Narrow" w:hAnsi="Arial Narrow" w:cs="Tahoma"/>
          <w:sz w:val="16"/>
          <w:szCs w:val="16"/>
        </w:rPr>
        <w:t>Graph 2. Indices of industrial production</w:t>
      </w:r>
      <w:r w:rsidR="00B85D9D" w:rsidRPr="007E517E">
        <w:rPr>
          <w:rFonts w:ascii="Arial Narrow" w:hAnsi="Arial Narrow" w:cs="Tahoma"/>
          <w:sz w:val="16"/>
          <w:szCs w:val="16"/>
        </w:rPr>
        <w:t xml:space="preserve">, </w:t>
      </w:r>
      <w:r w:rsidRPr="007E517E">
        <w:rPr>
          <w:rFonts w:ascii="Arial Narrow" w:hAnsi="Arial Narrow" w:cs="Tahoma"/>
          <w:sz w:val="16"/>
          <w:szCs w:val="16"/>
        </w:rPr>
        <w:t>July</w:t>
      </w:r>
      <w:r w:rsidR="00ED2B92" w:rsidRPr="007E517E">
        <w:rPr>
          <w:rFonts w:ascii="Arial Narrow" w:hAnsi="Arial Narrow" w:cs="Tahoma"/>
          <w:sz w:val="16"/>
          <w:szCs w:val="16"/>
        </w:rPr>
        <w:t xml:space="preserve"> 2011 – </w:t>
      </w:r>
      <w:r w:rsidRPr="007E517E">
        <w:rPr>
          <w:rFonts w:ascii="Arial Narrow" w:hAnsi="Arial Narrow" w:cs="Tahoma"/>
          <w:sz w:val="16"/>
          <w:szCs w:val="16"/>
        </w:rPr>
        <w:t>July</w:t>
      </w:r>
      <w:r w:rsidR="00ED2B92" w:rsidRPr="007E517E">
        <w:rPr>
          <w:rFonts w:ascii="Arial Narrow" w:hAnsi="Arial Narrow" w:cs="Tahoma"/>
          <w:sz w:val="16"/>
          <w:szCs w:val="16"/>
        </w:rPr>
        <w:t xml:space="preserve"> 2015 </w:t>
      </w:r>
      <w:r w:rsidR="00B85D9D" w:rsidRPr="007E517E">
        <w:rPr>
          <w:rFonts w:ascii="Arial Narrow" w:hAnsi="Arial Narrow" w:cs="Tahoma"/>
          <w:sz w:val="16"/>
          <w:szCs w:val="16"/>
        </w:rPr>
        <w:t>(</w:t>
      </w:r>
      <w:r w:rsidR="00B85D9D" w:rsidRPr="007E517E">
        <w:rPr>
          <w:rFonts w:ascii="Arial Narrow" w:hAnsi="Arial Narrow" w:cs="Tahoma"/>
          <w:sz w:val="16"/>
          <w:szCs w:val="16"/>
        </w:rPr>
        <w:sym w:font="Symbol" w:char="F0C6"/>
      </w:r>
      <w:r w:rsidR="00B85D9D" w:rsidRPr="007E517E">
        <w:rPr>
          <w:rFonts w:ascii="Arial Narrow" w:hAnsi="Arial Narrow" w:cs="Tahoma"/>
          <w:sz w:val="16"/>
          <w:szCs w:val="16"/>
        </w:rPr>
        <w:t>2010=100)</w:t>
      </w:r>
    </w:p>
    <w:p w:rsidR="000213F8" w:rsidRPr="007E517E" w:rsidRDefault="000213F8" w:rsidP="009A0B74">
      <w:pPr>
        <w:jc w:val="both"/>
        <w:rPr>
          <w:rFonts w:ascii="Arial Narrow" w:hAnsi="Arial Narrow" w:cs="Tahoma"/>
          <w:sz w:val="22"/>
          <w:szCs w:val="22"/>
        </w:rPr>
      </w:pPr>
    </w:p>
    <w:p w:rsidR="00763D11" w:rsidRPr="007E517E" w:rsidRDefault="00763D11" w:rsidP="009A0B74">
      <w:pPr>
        <w:jc w:val="both"/>
        <w:rPr>
          <w:rFonts w:ascii="Arial Narrow" w:hAnsi="Arial Narrow" w:cs="Tahoma"/>
          <w:sz w:val="22"/>
          <w:szCs w:val="22"/>
        </w:rPr>
      </w:pPr>
    </w:p>
    <w:p w:rsidR="00055304" w:rsidRPr="007E517E" w:rsidRDefault="00E8074A" w:rsidP="00055304">
      <w:pPr>
        <w:rPr>
          <w:rFonts w:ascii="Arial Narrow" w:hAnsi="Arial Narrow" w:cs="Tahoma"/>
          <w:b/>
          <w:sz w:val="30"/>
          <w:szCs w:val="30"/>
        </w:rPr>
      </w:pPr>
      <w:r w:rsidRPr="007E517E">
        <w:rPr>
          <w:rFonts w:ascii="Arial Narrow" w:hAnsi="Arial Narrow" w:cs="Tahoma"/>
          <w:b/>
          <w:sz w:val="30"/>
          <w:szCs w:val="30"/>
        </w:rPr>
        <w:t>Coverage of import with export</w:t>
      </w:r>
      <w:r w:rsidR="00055304" w:rsidRPr="007E517E">
        <w:rPr>
          <w:rFonts w:ascii="Arial Narrow" w:hAnsi="Arial Narrow" w:cs="Tahoma"/>
          <w:b/>
          <w:sz w:val="30"/>
          <w:szCs w:val="30"/>
        </w:rPr>
        <w:t xml:space="preserve"> (</w:t>
      </w:r>
      <w:r w:rsidRPr="007E517E">
        <w:rPr>
          <w:rFonts w:ascii="Arial Narrow" w:hAnsi="Arial Narrow" w:cs="Tahoma"/>
          <w:b/>
          <w:sz w:val="30"/>
          <w:szCs w:val="30"/>
        </w:rPr>
        <w:t>in the period</w:t>
      </w:r>
      <w:r w:rsidR="00055304" w:rsidRPr="007E517E">
        <w:rPr>
          <w:rFonts w:ascii="Arial Narrow" w:hAnsi="Arial Narrow" w:cs="Tahoma"/>
          <w:b/>
          <w:sz w:val="30"/>
          <w:szCs w:val="30"/>
        </w:rPr>
        <w:t xml:space="preserve"> </w:t>
      </w:r>
      <w:r w:rsidRPr="007E517E">
        <w:rPr>
          <w:rFonts w:ascii="Arial Narrow" w:hAnsi="Arial Narrow" w:cs="Tahoma"/>
          <w:b/>
          <w:sz w:val="30"/>
          <w:szCs w:val="30"/>
        </w:rPr>
        <w:t>January</w:t>
      </w:r>
      <w:r w:rsidR="00055304" w:rsidRPr="007E517E">
        <w:rPr>
          <w:rFonts w:ascii="Arial Narrow" w:hAnsi="Arial Narrow" w:cs="Tahoma"/>
          <w:b/>
          <w:sz w:val="30"/>
          <w:szCs w:val="30"/>
        </w:rPr>
        <w:t>-</w:t>
      </w:r>
      <w:r w:rsidRPr="007E517E">
        <w:rPr>
          <w:rFonts w:ascii="Arial Narrow" w:hAnsi="Arial Narrow" w:cs="Tahoma"/>
          <w:b/>
          <w:sz w:val="30"/>
          <w:szCs w:val="30"/>
        </w:rPr>
        <w:t>July</w:t>
      </w:r>
      <w:r w:rsidR="00055304" w:rsidRPr="007E517E">
        <w:rPr>
          <w:rFonts w:ascii="Arial Narrow" w:hAnsi="Arial Narrow" w:cs="Tahoma"/>
          <w:b/>
          <w:sz w:val="30"/>
          <w:szCs w:val="30"/>
        </w:rPr>
        <w:t xml:space="preserve"> 201</w:t>
      </w:r>
      <w:r w:rsidRPr="007E517E">
        <w:rPr>
          <w:rFonts w:ascii="Arial Narrow" w:hAnsi="Arial Narrow" w:cs="Tahoma"/>
          <w:b/>
          <w:sz w:val="30"/>
          <w:szCs w:val="30"/>
        </w:rPr>
        <w:t>5</w:t>
      </w:r>
      <w:r w:rsidR="00055304" w:rsidRPr="007E517E">
        <w:rPr>
          <w:rFonts w:ascii="Arial Narrow" w:hAnsi="Arial Narrow" w:cs="Tahoma"/>
          <w:b/>
          <w:sz w:val="30"/>
          <w:szCs w:val="30"/>
        </w:rPr>
        <w:t xml:space="preserve">) </w:t>
      </w:r>
      <w:r w:rsidR="00C609AD" w:rsidRPr="007E517E">
        <w:rPr>
          <w:rFonts w:ascii="Arial Narrow" w:hAnsi="Arial Narrow" w:cs="Tahoma"/>
          <w:b/>
          <w:sz w:val="30"/>
          <w:szCs w:val="30"/>
        </w:rPr>
        <w:t>5</w:t>
      </w:r>
      <w:r w:rsidR="003B6A99" w:rsidRPr="007E517E">
        <w:rPr>
          <w:rFonts w:ascii="Arial Narrow" w:hAnsi="Arial Narrow" w:cs="Tahoma"/>
          <w:b/>
          <w:sz w:val="30"/>
          <w:szCs w:val="30"/>
        </w:rPr>
        <w:t>8</w:t>
      </w:r>
      <w:r w:rsidRPr="007E517E">
        <w:rPr>
          <w:rFonts w:ascii="Arial Narrow" w:hAnsi="Arial Narrow" w:cs="Tahoma"/>
          <w:b/>
          <w:sz w:val="30"/>
          <w:szCs w:val="30"/>
        </w:rPr>
        <w:t>.</w:t>
      </w:r>
      <w:r w:rsidR="003B6A99" w:rsidRPr="007E517E">
        <w:rPr>
          <w:rFonts w:ascii="Arial Narrow" w:hAnsi="Arial Narrow" w:cs="Tahoma"/>
          <w:b/>
          <w:sz w:val="30"/>
          <w:szCs w:val="30"/>
        </w:rPr>
        <w:t>5</w:t>
      </w:r>
      <w:r w:rsidR="00055304" w:rsidRPr="007E517E">
        <w:rPr>
          <w:rFonts w:ascii="Arial Narrow" w:hAnsi="Arial Narrow" w:cs="Tahoma"/>
          <w:b/>
          <w:sz w:val="30"/>
          <w:szCs w:val="30"/>
        </w:rPr>
        <w:t xml:space="preserve">% </w:t>
      </w:r>
    </w:p>
    <w:p w:rsidR="00055304" w:rsidRPr="007E517E" w:rsidRDefault="00055304" w:rsidP="00055304">
      <w:pPr>
        <w:tabs>
          <w:tab w:val="left" w:pos="300"/>
          <w:tab w:val="left" w:pos="1100"/>
        </w:tabs>
        <w:jc w:val="both"/>
        <w:rPr>
          <w:rFonts w:ascii="Tahoma" w:hAnsi="Tahoma" w:cs="Tahoma"/>
          <w:b/>
        </w:rPr>
      </w:pPr>
    </w:p>
    <w:p w:rsidR="00E8074A" w:rsidRPr="007E517E" w:rsidRDefault="00E8074A" w:rsidP="00055304">
      <w:pPr>
        <w:jc w:val="both"/>
        <w:rPr>
          <w:rFonts w:ascii="Arial Narrow" w:hAnsi="Arial Narrow" w:cs="Tahoma"/>
          <w:sz w:val="22"/>
        </w:rPr>
      </w:pPr>
      <w:r w:rsidRPr="007E517E">
        <w:rPr>
          <w:rFonts w:ascii="Arial Narrow" w:hAnsi="Arial Narrow" w:cs="Tahoma"/>
          <w:sz w:val="22"/>
        </w:rPr>
        <w:t xml:space="preserve">In July 2015, the value of export amounted to 243 million KM and the value of import was 441 million KM. </w:t>
      </w:r>
    </w:p>
    <w:p w:rsidR="00055304" w:rsidRPr="007E517E" w:rsidRDefault="00055304" w:rsidP="00055304">
      <w:pPr>
        <w:jc w:val="both"/>
        <w:rPr>
          <w:rFonts w:ascii="Arial Narrow" w:hAnsi="Arial Narrow" w:cs="Tahoma"/>
          <w:sz w:val="22"/>
        </w:rPr>
      </w:pPr>
    </w:p>
    <w:p w:rsidR="00E8074A" w:rsidRPr="007E517E" w:rsidRDefault="00E8074A" w:rsidP="00055304">
      <w:pPr>
        <w:jc w:val="both"/>
        <w:rPr>
          <w:rFonts w:ascii="Arial Narrow" w:hAnsi="Arial Narrow" w:cs="Tahoma"/>
          <w:sz w:val="22"/>
        </w:rPr>
      </w:pPr>
      <w:r w:rsidRPr="007E517E">
        <w:rPr>
          <w:rFonts w:ascii="Arial Narrow" w:hAnsi="Arial Narrow" w:cs="Tahoma"/>
          <w:sz w:val="22"/>
        </w:rPr>
        <w:t xml:space="preserve">In the total external trade of Republika Srpska in July of the current year, the percentage of coverage of import with export was 55.0%. The percentage of coverage of import with export in the first seven months of the current year was 58.5%. </w:t>
      </w:r>
    </w:p>
    <w:p w:rsidR="00E8074A" w:rsidRPr="007E517E" w:rsidRDefault="00E8074A" w:rsidP="00055304">
      <w:pPr>
        <w:jc w:val="both"/>
        <w:rPr>
          <w:rFonts w:ascii="Arial Narrow" w:hAnsi="Arial Narrow" w:cs="Tahoma"/>
          <w:sz w:val="22"/>
        </w:rPr>
      </w:pPr>
    </w:p>
    <w:p w:rsidR="00E8074A" w:rsidRPr="007E517E" w:rsidRDefault="00E8074A" w:rsidP="00055304">
      <w:pPr>
        <w:jc w:val="both"/>
        <w:rPr>
          <w:rFonts w:ascii="Arial Narrow" w:hAnsi="Arial Narrow" w:cs="Tahoma"/>
          <w:sz w:val="22"/>
        </w:rPr>
      </w:pPr>
      <w:r w:rsidRPr="007E517E">
        <w:rPr>
          <w:rFonts w:ascii="Arial Narrow" w:hAnsi="Arial Narrow" w:cs="Tahoma"/>
          <w:sz w:val="22"/>
        </w:rPr>
        <w:t xml:space="preserve">In the period January – July 2015, the value of export was 1 billion and 481 million KM, which represented a decrease by 4.8% compared to the same period of the previous year. During the same period, the value of import was 2 billion and 533 million KM, which represented a decrease by 6.4% compared to the same period of the previous year. </w:t>
      </w:r>
    </w:p>
    <w:p w:rsidR="00E8074A" w:rsidRPr="007E517E" w:rsidRDefault="00E8074A" w:rsidP="00055304">
      <w:pPr>
        <w:jc w:val="both"/>
        <w:rPr>
          <w:rFonts w:ascii="Arial Narrow" w:hAnsi="Arial Narrow" w:cs="Tahoma"/>
          <w:sz w:val="22"/>
        </w:rPr>
      </w:pPr>
    </w:p>
    <w:p w:rsidR="00E8074A" w:rsidRPr="007E517E" w:rsidRDefault="00E8074A" w:rsidP="00055304">
      <w:pPr>
        <w:jc w:val="both"/>
        <w:rPr>
          <w:rFonts w:ascii="Arial Narrow" w:hAnsi="Arial Narrow" w:cs="Tahoma"/>
          <w:sz w:val="22"/>
        </w:rPr>
      </w:pPr>
      <w:r w:rsidRPr="007E517E">
        <w:rPr>
          <w:rFonts w:ascii="Arial Narrow" w:hAnsi="Arial Narrow" w:cs="Tahoma"/>
          <w:sz w:val="22"/>
        </w:rPr>
        <w:t>In terms of the geographical distribution of external trade of Republika Srpska, in the period January – July 2015, the highest value of export was that of export to Italy, with 286 million KM or 19.3%, followed by Serbia, with 194 million KM or 13.1% of the total realised export. During the same period, the highest value of import was that of import from Serbia, with 427 million KM or 16.8%, followed by Russia, with 422 million or 16.7% of the total realised import.</w:t>
      </w:r>
    </w:p>
    <w:p w:rsidR="00E8074A" w:rsidRPr="007E517E" w:rsidRDefault="00E8074A" w:rsidP="00055304">
      <w:pPr>
        <w:jc w:val="both"/>
        <w:rPr>
          <w:rFonts w:ascii="Arial Narrow" w:hAnsi="Arial Narrow" w:cs="Tahoma"/>
          <w:sz w:val="22"/>
        </w:rPr>
      </w:pPr>
    </w:p>
    <w:p w:rsidR="00E8074A" w:rsidRPr="007E517E" w:rsidRDefault="00E8074A" w:rsidP="00E8074A">
      <w:pPr>
        <w:tabs>
          <w:tab w:val="left" w:pos="300"/>
          <w:tab w:val="left" w:pos="1100"/>
        </w:tabs>
        <w:jc w:val="both"/>
        <w:rPr>
          <w:rFonts w:ascii="Arial Narrow" w:hAnsi="Arial Narrow" w:cs="Tahoma"/>
          <w:bCs/>
          <w:sz w:val="22"/>
        </w:rPr>
      </w:pPr>
      <w:r w:rsidRPr="007E517E">
        <w:rPr>
          <w:rFonts w:ascii="Arial Narrow" w:hAnsi="Arial Narrow" w:cs="Tahoma"/>
          <w:sz w:val="22"/>
        </w:rPr>
        <w:t xml:space="preserve">By group of products, in the period January – July 2015, the highest share in export was that of artificial corundum, aluminium oxide and aluminium hydroxide with the total value of 91 million KM, which was 6.1% of the total export, while the highest share in import was that of petroleum and oils obtained from bituminous minerals (crude), with the total value of 396 million KM, which was 15.6% of the total import. </w:t>
      </w:r>
    </w:p>
    <w:p w:rsidR="00055304" w:rsidRPr="007E517E" w:rsidRDefault="00055304" w:rsidP="00055304">
      <w:pPr>
        <w:jc w:val="both"/>
        <w:rPr>
          <w:rFonts w:ascii="Arial Narrow" w:hAnsi="Arial Narrow" w:cs="Tahoma"/>
          <w:sz w:val="22"/>
        </w:rPr>
      </w:pPr>
    </w:p>
    <w:p w:rsidR="00055304" w:rsidRPr="007E517E" w:rsidRDefault="00055304" w:rsidP="00055304">
      <w:pPr>
        <w:jc w:val="both"/>
        <w:rPr>
          <w:rFonts w:ascii="Arial Narrow" w:hAnsi="Arial Narrow" w:cs="Tahoma"/>
          <w:sz w:val="22"/>
        </w:rPr>
      </w:pPr>
    </w:p>
    <w:p w:rsidR="00115CDB" w:rsidRPr="007E517E" w:rsidRDefault="00115CDB" w:rsidP="00115CDB">
      <w:pPr>
        <w:tabs>
          <w:tab w:val="left" w:pos="300"/>
          <w:tab w:val="left" w:pos="1100"/>
        </w:tabs>
        <w:jc w:val="both"/>
        <w:rPr>
          <w:rFonts w:ascii="Tahoma" w:hAnsi="Tahoma" w:cs="Tahoma"/>
          <w:sz w:val="18"/>
          <w:szCs w:val="18"/>
        </w:rPr>
      </w:pPr>
    </w:p>
    <w:p w:rsidR="00252DE1" w:rsidRPr="007E517E" w:rsidRDefault="00252DE1" w:rsidP="00451451">
      <w:pPr>
        <w:tabs>
          <w:tab w:val="left" w:pos="300"/>
          <w:tab w:val="left" w:pos="1100"/>
        </w:tabs>
        <w:jc w:val="center"/>
        <w:rPr>
          <w:rFonts w:ascii="Tahoma" w:hAnsi="Tahoma" w:cs="Tahoma"/>
          <w:sz w:val="16"/>
          <w:szCs w:val="16"/>
        </w:rPr>
      </w:pPr>
    </w:p>
    <w:p w:rsidR="00252DE1" w:rsidRPr="007E517E" w:rsidRDefault="00252DE1" w:rsidP="00451451">
      <w:pPr>
        <w:tabs>
          <w:tab w:val="left" w:pos="300"/>
          <w:tab w:val="left" w:pos="1100"/>
        </w:tabs>
        <w:jc w:val="center"/>
        <w:rPr>
          <w:rFonts w:ascii="Tahoma" w:hAnsi="Tahoma" w:cs="Tahoma"/>
          <w:sz w:val="16"/>
          <w:szCs w:val="16"/>
        </w:rPr>
      </w:pPr>
    </w:p>
    <w:p w:rsidR="00252DE1" w:rsidRPr="007E517E" w:rsidRDefault="00252DE1" w:rsidP="00451451">
      <w:pPr>
        <w:tabs>
          <w:tab w:val="left" w:pos="300"/>
          <w:tab w:val="left" w:pos="1100"/>
        </w:tabs>
        <w:jc w:val="center"/>
        <w:rPr>
          <w:rFonts w:ascii="Tahoma" w:hAnsi="Tahoma" w:cs="Tahoma"/>
          <w:sz w:val="16"/>
          <w:szCs w:val="16"/>
        </w:rPr>
      </w:pPr>
    </w:p>
    <w:p w:rsidR="00252DE1" w:rsidRPr="007E517E" w:rsidRDefault="00252DE1"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3206D9" w:rsidRPr="007E517E" w:rsidRDefault="003206D9" w:rsidP="00451451">
      <w:pPr>
        <w:tabs>
          <w:tab w:val="left" w:pos="300"/>
          <w:tab w:val="left" w:pos="1100"/>
        </w:tabs>
        <w:jc w:val="center"/>
        <w:rPr>
          <w:rFonts w:ascii="Tahoma" w:hAnsi="Tahoma" w:cs="Tahoma"/>
          <w:sz w:val="16"/>
          <w:szCs w:val="16"/>
        </w:rPr>
      </w:pPr>
    </w:p>
    <w:p w:rsidR="00252DE1" w:rsidRPr="007E517E" w:rsidRDefault="00D8707D" w:rsidP="00451451">
      <w:pPr>
        <w:tabs>
          <w:tab w:val="left" w:pos="300"/>
          <w:tab w:val="left" w:pos="1100"/>
        </w:tabs>
        <w:jc w:val="center"/>
        <w:rPr>
          <w:rFonts w:ascii="Tahoma" w:hAnsi="Tahoma" w:cs="Tahoma"/>
          <w:sz w:val="16"/>
          <w:szCs w:val="16"/>
        </w:rPr>
      </w:pPr>
      <w:r w:rsidRPr="007E517E">
        <w:rPr>
          <w:rFonts w:ascii="Tahoma" w:hAnsi="Tahoma" w:cs="Tahoma"/>
          <w:noProof/>
          <w:sz w:val="18"/>
          <w:szCs w:val="18"/>
          <w:lang w:eastAsia="zh-TW"/>
        </w:rPr>
        <w:lastRenderedPageBreak/>
        <w:pict>
          <v:shapetype id="_x0000_t202" coordsize="21600,21600" o:spt="202" path="m,l,21600r21600,l21600,xe">
            <v:stroke joinstyle="miter"/>
            <v:path gradientshapeok="t" o:connecttype="rect"/>
          </v:shapetype>
          <v:shape id="_x0000_s1068" type="#_x0000_t202" style="position:absolute;left:0;text-align:left;margin-left:298.3pt;margin-top:8.95pt;width:64.2pt;height:19.75pt;z-index:251664384;mso-width-relative:margin;mso-height-relative:margin" stroked="f">
            <v:textbox style="mso-next-textbox:#_x0000_s1068">
              <w:txbxContent>
                <w:p w:rsidR="00B16ABA" w:rsidRPr="000A1309" w:rsidRDefault="00B16ABA" w:rsidP="008809BE">
                  <w:pPr>
                    <w:jc w:val="right"/>
                    <w:rPr>
                      <w:rFonts w:ascii="Arial Narrow" w:hAnsi="Arial Narrow" w:cs="Tahoma"/>
                      <w:sz w:val="16"/>
                      <w:szCs w:val="16"/>
                      <w:lang w:val="bs-Cyrl-BA"/>
                    </w:rPr>
                  </w:pPr>
                  <w:proofErr w:type="spellStart"/>
                  <w:proofErr w:type="gramStart"/>
                  <w:r>
                    <w:rPr>
                      <w:rFonts w:ascii="Arial Narrow" w:hAnsi="Arial Narrow" w:cs="Tahoma"/>
                      <w:sz w:val="16"/>
                      <w:szCs w:val="16"/>
                    </w:rPr>
                    <w:t>thous</w:t>
                  </w:r>
                  <w:proofErr w:type="spellEnd"/>
                  <w:proofErr w:type="gramEnd"/>
                  <w:r w:rsidRPr="000A1309">
                    <w:rPr>
                      <w:rFonts w:ascii="Arial Narrow" w:hAnsi="Arial Narrow" w:cs="Tahoma"/>
                      <w:sz w:val="16"/>
                      <w:szCs w:val="16"/>
                      <w:lang w:val="bs-Cyrl-BA"/>
                    </w:rPr>
                    <w:t>. КМ</w:t>
                  </w:r>
                </w:p>
              </w:txbxContent>
            </v:textbox>
          </v:shape>
        </w:pict>
      </w:r>
    </w:p>
    <w:p w:rsidR="00252DE1" w:rsidRPr="007E517E" w:rsidRDefault="00252DE1" w:rsidP="00451451">
      <w:pPr>
        <w:tabs>
          <w:tab w:val="left" w:pos="300"/>
          <w:tab w:val="left" w:pos="1100"/>
        </w:tabs>
        <w:jc w:val="center"/>
        <w:rPr>
          <w:rFonts w:ascii="Tahoma" w:hAnsi="Tahoma" w:cs="Tahoma"/>
          <w:sz w:val="16"/>
          <w:szCs w:val="16"/>
        </w:rPr>
      </w:pPr>
    </w:p>
    <w:p w:rsidR="00BA70D8" w:rsidRPr="007E517E" w:rsidRDefault="003B6A99" w:rsidP="00451451">
      <w:pPr>
        <w:tabs>
          <w:tab w:val="left" w:pos="300"/>
          <w:tab w:val="left" w:pos="1100"/>
        </w:tabs>
        <w:jc w:val="center"/>
        <w:rPr>
          <w:rFonts w:ascii="Tahoma" w:hAnsi="Tahoma" w:cs="Tahoma"/>
          <w:sz w:val="16"/>
          <w:szCs w:val="16"/>
        </w:rPr>
      </w:pPr>
      <w:r w:rsidRPr="007E517E">
        <w:rPr>
          <w:noProof/>
        </w:rPr>
        <w:drawing>
          <wp:inline distT="0" distB="0" distL="0" distR="0">
            <wp:extent cx="4259580" cy="247650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8707D" w:rsidRPr="007E517E">
        <w:rPr>
          <w:rFonts w:ascii="Tahoma" w:hAnsi="Tahoma" w:cs="Tahoma"/>
          <w:b/>
          <w:noProof/>
          <w:sz w:val="16"/>
          <w:szCs w:val="16"/>
          <w:lang w:eastAsia="zh-TW"/>
        </w:rPr>
        <w:pict>
          <v:shape id="_x0000_s1066" type="#_x0000_t202" style="position:absolute;left:0;text-align:left;margin-left:180pt;margin-top:192.4pt;width:37.85pt;height:16.4pt;z-index:251662336;mso-height-percent:200;mso-position-horizontal-relative:text;mso-position-vertical-relative:text;mso-height-percent:200;mso-width-relative:margin;mso-height-relative:margin" stroked="f">
            <v:textbox style="mso-next-textbox:#_x0000_s1066;mso-fit-shape-to-text:t">
              <w:txbxContent>
                <w:p w:rsidR="00B16ABA" w:rsidRPr="000A1309" w:rsidRDefault="00B16ABA" w:rsidP="00115CDB">
                  <w:pP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4</w:t>
                  </w:r>
                </w:p>
              </w:txbxContent>
            </v:textbox>
          </v:shape>
        </w:pict>
      </w:r>
      <w:r w:rsidR="00D8707D" w:rsidRPr="007E517E">
        <w:rPr>
          <w:rFonts w:ascii="Tahoma" w:hAnsi="Tahoma" w:cs="Tahoma"/>
          <w:b/>
          <w:noProof/>
          <w:sz w:val="16"/>
          <w:szCs w:val="16"/>
          <w:lang w:eastAsia="bs-Latn-BA"/>
        </w:rPr>
        <w:pict>
          <v:shape id="_x0000_s1067" type="#_x0000_t202" style="position:absolute;left:0;text-align:left;margin-left:293.9pt;margin-top:192.4pt;width:44.2pt;height:16.4pt;z-index:251663360;mso-height-percent:200;mso-position-horizontal-relative:text;mso-position-vertical-relative:text;mso-height-percent:200;mso-width-relative:margin;mso-height-relative:margin" stroked="f">
            <v:textbox style="mso-next-textbox:#_x0000_s1067;mso-fit-shape-to-text:t">
              <w:txbxContent>
                <w:p w:rsidR="00B16ABA" w:rsidRPr="000A1309" w:rsidRDefault="00B16ABA"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5</w:t>
                  </w:r>
                </w:p>
              </w:txbxContent>
            </v:textbox>
          </v:shape>
        </w:pict>
      </w:r>
    </w:p>
    <w:p w:rsidR="004E6814" w:rsidRPr="007E517E" w:rsidRDefault="004E6814" w:rsidP="00451451">
      <w:pPr>
        <w:tabs>
          <w:tab w:val="left" w:pos="300"/>
          <w:tab w:val="left" w:pos="1100"/>
        </w:tabs>
        <w:jc w:val="center"/>
        <w:rPr>
          <w:rFonts w:ascii="Tahoma" w:hAnsi="Tahoma" w:cs="Tahoma"/>
          <w:sz w:val="16"/>
          <w:szCs w:val="16"/>
        </w:rPr>
      </w:pPr>
    </w:p>
    <w:p w:rsidR="004E6814" w:rsidRPr="007E517E" w:rsidRDefault="004E6814" w:rsidP="00451451">
      <w:pPr>
        <w:tabs>
          <w:tab w:val="left" w:pos="300"/>
          <w:tab w:val="left" w:pos="1100"/>
        </w:tabs>
        <w:jc w:val="center"/>
        <w:rPr>
          <w:rFonts w:ascii="Tahoma" w:hAnsi="Tahoma" w:cs="Tahoma"/>
          <w:sz w:val="16"/>
          <w:szCs w:val="16"/>
        </w:rPr>
      </w:pPr>
    </w:p>
    <w:p w:rsidR="00777348" w:rsidRPr="007E517E" w:rsidRDefault="009E49F3" w:rsidP="00777348">
      <w:pPr>
        <w:tabs>
          <w:tab w:val="left" w:pos="2535"/>
        </w:tabs>
        <w:jc w:val="center"/>
        <w:rPr>
          <w:rFonts w:ascii="Arial Narrow" w:hAnsi="Arial Narrow" w:cs="Tahoma"/>
          <w:iCs/>
          <w:sz w:val="16"/>
          <w:szCs w:val="22"/>
        </w:rPr>
      </w:pPr>
      <w:r w:rsidRPr="007E517E">
        <w:rPr>
          <w:rFonts w:ascii="Arial Narrow" w:hAnsi="Arial Narrow" w:cs="Tahoma"/>
          <w:sz w:val="16"/>
          <w:szCs w:val="22"/>
        </w:rPr>
        <w:t>Graph</w:t>
      </w:r>
      <w:r w:rsidR="00777348" w:rsidRPr="007E517E">
        <w:rPr>
          <w:rFonts w:ascii="Arial Narrow" w:hAnsi="Arial Narrow" w:cs="Tahoma"/>
          <w:sz w:val="16"/>
          <w:szCs w:val="22"/>
        </w:rPr>
        <w:t xml:space="preserve"> </w:t>
      </w:r>
      <w:r w:rsidR="0066022A" w:rsidRPr="007E517E">
        <w:rPr>
          <w:rFonts w:ascii="Arial Narrow" w:hAnsi="Arial Narrow" w:cs="Tahoma"/>
          <w:sz w:val="16"/>
          <w:szCs w:val="22"/>
        </w:rPr>
        <w:t>3</w:t>
      </w:r>
      <w:r w:rsidR="00777348" w:rsidRPr="007E517E">
        <w:rPr>
          <w:rFonts w:ascii="Arial Narrow" w:hAnsi="Arial Narrow" w:cs="Tahoma"/>
          <w:sz w:val="16"/>
          <w:szCs w:val="22"/>
        </w:rPr>
        <w:t xml:space="preserve">. </w:t>
      </w:r>
      <w:r w:rsidRPr="007E517E">
        <w:rPr>
          <w:rFonts w:ascii="Arial Narrow" w:hAnsi="Arial Narrow" w:cs="Tahoma"/>
          <w:iCs/>
          <w:sz w:val="16"/>
          <w:szCs w:val="22"/>
        </w:rPr>
        <w:t>Export and import by month</w:t>
      </w:r>
    </w:p>
    <w:p w:rsidR="00115CDB" w:rsidRPr="007E517E" w:rsidRDefault="00115CDB" w:rsidP="00115CDB">
      <w:pPr>
        <w:tabs>
          <w:tab w:val="left" w:pos="2535"/>
        </w:tabs>
        <w:jc w:val="center"/>
        <w:rPr>
          <w:rFonts w:ascii="Tahoma" w:hAnsi="Tahoma" w:cs="Tahoma"/>
          <w:iCs/>
          <w:sz w:val="18"/>
          <w:szCs w:val="18"/>
        </w:rPr>
      </w:pPr>
    </w:p>
    <w:p w:rsidR="00115CDB" w:rsidRPr="007E517E" w:rsidRDefault="00115CDB"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CC790C" w:rsidRPr="007E517E" w:rsidRDefault="00CC790C" w:rsidP="00115CDB">
      <w:pPr>
        <w:tabs>
          <w:tab w:val="left" w:pos="2535"/>
        </w:tabs>
        <w:jc w:val="center"/>
        <w:rPr>
          <w:rFonts w:ascii="Tahoma" w:hAnsi="Tahoma" w:cs="Tahoma"/>
          <w:b/>
          <w:spacing w:val="-16"/>
          <w:sz w:val="18"/>
          <w:szCs w:val="18"/>
        </w:rPr>
      </w:pPr>
    </w:p>
    <w:p w:rsidR="00CC790C" w:rsidRPr="007E517E" w:rsidRDefault="00CC790C" w:rsidP="00115CDB">
      <w:pPr>
        <w:tabs>
          <w:tab w:val="left" w:pos="2535"/>
        </w:tabs>
        <w:jc w:val="center"/>
        <w:rPr>
          <w:rFonts w:ascii="Tahoma" w:hAnsi="Tahoma" w:cs="Tahoma"/>
          <w:b/>
          <w:spacing w:val="-16"/>
          <w:sz w:val="18"/>
          <w:szCs w:val="18"/>
        </w:rPr>
      </w:pPr>
    </w:p>
    <w:p w:rsidR="00286C13" w:rsidRPr="007E517E" w:rsidRDefault="00286C13" w:rsidP="00115CDB">
      <w:pPr>
        <w:tabs>
          <w:tab w:val="left" w:pos="2535"/>
        </w:tabs>
        <w:jc w:val="center"/>
        <w:rPr>
          <w:rFonts w:ascii="Tahoma" w:hAnsi="Tahoma" w:cs="Tahoma"/>
          <w:b/>
          <w:spacing w:val="-16"/>
          <w:sz w:val="18"/>
          <w:szCs w:val="18"/>
        </w:rPr>
      </w:pPr>
    </w:p>
    <w:p w:rsidR="00630207" w:rsidRPr="007E517E" w:rsidRDefault="00630207" w:rsidP="00115CDB">
      <w:pPr>
        <w:tabs>
          <w:tab w:val="left" w:pos="2535"/>
        </w:tabs>
        <w:jc w:val="center"/>
        <w:rPr>
          <w:rFonts w:ascii="Tahoma" w:hAnsi="Tahoma" w:cs="Tahoma"/>
          <w:b/>
          <w:spacing w:val="-16"/>
          <w:sz w:val="18"/>
          <w:szCs w:val="18"/>
        </w:rPr>
      </w:pPr>
    </w:p>
    <w:p w:rsidR="00630207" w:rsidRPr="007E517E" w:rsidRDefault="00630207" w:rsidP="00115CDB">
      <w:pPr>
        <w:tabs>
          <w:tab w:val="left" w:pos="2535"/>
        </w:tabs>
        <w:jc w:val="center"/>
        <w:rPr>
          <w:rFonts w:ascii="Tahoma" w:hAnsi="Tahoma" w:cs="Tahoma"/>
          <w:b/>
          <w:spacing w:val="-16"/>
          <w:sz w:val="18"/>
          <w:szCs w:val="18"/>
        </w:rPr>
      </w:pPr>
    </w:p>
    <w:p w:rsidR="00630207" w:rsidRPr="007E517E" w:rsidRDefault="00630207" w:rsidP="00115CDB">
      <w:pPr>
        <w:tabs>
          <w:tab w:val="left" w:pos="2535"/>
        </w:tabs>
        <w:jc w:val="center"/>
        <w:rPr>
          <w:rFonts w:ascii="Tahoma" w:hAnsi="Tahoma" w:cs="Tahoma"/>
          <w:b/>
          <w:spacing w:val="-16"/>
          <w:sz w:val="18"/>
          <w:szCs w:val="18"/>
        </w:rPr>
      </w:pPr>
    </w:p>
    <w:p w:rsidR="00630207" w:rsidRPr="007E517E" w:rsidRDefault="00630207" w:rsidP="00115CDB">
      <w:pPr>
        <w:tabs>
          <w:tab w:val="left" w:pos="2535"/>
        </w:tabs>
        <w:jc w:val="center"/>
        <w:rPr>
          <w:rFonts w:ascii="Tahoma" w:hAnsi="Tahoma" w:cs="Tahoma"/>
          <w:b/>
          <w:spacing w:val="-16"/>
          <w:sz w:val="18"/>
          <w:szCs w:val="18"/>
        </w:rPr>
      </w:pPr>
    </w:p>
    <w:p w:rsidR="00630207" w:rsidRPr="007E517E" w:rsidRDefault="00630207" w:rsidP="00115CDB">
      <w:pPr>
        <w:tabs>
          <w:tab w:val="left" w:pos="2535"/>
        </w:tabs>
        <w:jc w:val="center"/>
        <w:rPr>
          <w:rFonts w:ascii="Tahoma" w:hAnsi="Tahoma" w:cs="Tahoma"/>
          <w:b/>
          <w:spacing w:val="-16"/>
          <w:sz w:val="18"/>
          <w:szCs w:val="18"/>
        </w:rPr>
      </w:pPr>
    </w:p>
    <w:p w:rsidR="00630207" w:rsidRPr="007E517E" w:rsidRDefault="00630207" w:rsidP="00115CDB">
      <w:pPr>
        <w:tabs>
          <w:tab w:val="left" w:pos="2535"/>
        </w:tabs>
        <w:jc w:val="center"/>
        <w:rPr>
          <w:rFonts w:ascii="Tahoma" w:hAnsi="Tahoma" w:cs="Tahoma"/>
          <w:b/>
          <w:spacing w:val="-16"/>
          <w:sz w:val="18"/>
          <w:szCs w:val="18"/>
        </w:rPr>
      </w:pPr>
    </w:p>
    <w:p w:rsidR="00630207" w:rsidRPr="007E517E" w:rsidRDefault="00630207"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7B3C79" w:rsidRPr="007E517E" w:rsidRDefault="007B3C79" w:rsidP="00115CDB">
      <w:pPr>
        <w:tabs>
          <w:tab w:val="left" w:pos="2535"/>
        </w:tabs>
        <w:jc w:val="center"/>
        <w:rPr>
          <w:rFonts w:ascii="Tahoma" w:hAnsi="Tahoma" w:cs="Tahoma"/>
          <w:b/>
          <w:spacing w:val="-16"/>
          <w:sz w:val="18"/>
          <w:szCs w:val="18"/>
        </w:rPr>
      </w:pPr>
    </w:p>
    <w:p w:rsidR="00630207" w:rsidRPr="007E517E" w:rsidRDefault="00630207" w:rsidP="00115CDB">
      <w:pPr>
        <w:tabs>
          <w:tab w:val="left" w:pos="2535"/>
        </w:tabs>
        <w:jc w:val="center"/>
        <w:rPr>
          <w:rFonts w:ascii="Tahoma" w:hAnsi="Tahoma" w:cs="Tahoma"/>
          <w:b/>
          <w:spacing w:val="-16"/>
          <w:sz w:val="18"/>
          <w:szCs w:val="18"/>
        </w:rPr>
      </w:pPr>
    </w:p>
    <w:p w:rsidR="00252DE1" w:rsidRPr="007E517E" w:rsidRDefault="00252DE1" w:rsidP="00115CDB">
      <w:pPr>
        <w:tabs>
          <w:tab w:val="left" w:pos="2535"/>
        </w:tabs>
        <w:jc w:val="center"/>
        <w:rPr>
          <w:rFonts w:ascii="Tahoma" w:hAnsi="Tahoma" w:cs="Tahoma"/>
          <w:b/>
          <w:spacing w:val="-16"/>
          <w:sz w:val="18"/>
          <w:szCs w:val="18"/>
        </w:rPr>
      </w:pPr>
    </w:p>
    <w:p w:rsidR="000D1CED" w:rsidRPr="007E517E" w:rsidRDefault="000D1CED" w:rsidP="00115CDB">
      <w:pPr>
        <w:rPr>
          <w:rFonts w:ascii="Tahoma" w:hAnsi="Tahoma" w:cs="Tahoma"/>
          <w:bCs/>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4C20B5" w:rsidRPr="007E517E" w:rsidTr="009E2A9A">
        <w:trPr>
          <w:trHeight w:hRule="exact" w:val="340"/>
          <w:jc w:val="center"/>
        </w:trPr>
        <w:tc>
          <w:tcPr>
            <w:tcW w:w="10419" w:type="dxa"/>
            <w:tcBorders>
              <w:top w:val="nil"/>
              <w:left w:val="nil"/>
              <w:bottom w:val="nil"/>
              <w:right w:val="nil"/>
            </w:tcBorders>
          </w:tcPr>
          <w:p w:rsidR="009E2A9A" w:rsidRPr="007E517E" w:rsidRDefault="009E49F3" w:rsidP="009E2A9A">
            <w:pPr>
              <w:jc w:val="both"/>
              <w:rPr>
                <w:rFonts w:ascii="Arial Narrow" w:hAnsi="Arial Narrow" w:cs="Tahoma"/>
                <w:b/>
                <w:sz w:val="22"/>
              </w:rPr>
            </w:pPr>
            <w:r w:rsidRPr="007E517E">
              <w:rPr>
                <w:rFonts w:ascii="Arial Narrow" w:hAnsi="Arial Narrow" w:cs="Tahoma"/>
                <w:b/>
                <w:sz w:val="22"/>
              </w:rPr>
              <w:t>PREPARED BY</w:t>
            </w:r>
            <w:r w:rsidR="009E2A9A" w:rsidRPr="007E517E">
              <w:rPr>
                <w:rFonts w:ascii="Arial Narrow" w:hAnsi="Arial Narrow" w:cs="Tahoma"/>
                <w:b/>
                <w:sz w:val="22"/>
              </w:rPr>
              <w:t xml:space="preserve">: </w:t>
            </w:r>
          </w:p>
          <w:p w:rsidR="009E2A9A" w:rsidRPr="007E517E" w:rsidRDefault="009E2A9A" w:rsidP="009E2A9A">
            <w:pPr>
              <w:jc w:val="both"/>
              <w:rPr>
                <w:rFonts w:ascii="Tahoma" w:hAnsi="Tahoma" w:cs="Tahoma"/>
                <w:b/>
              </w:rPr>
            </w:pPr>
          </w:p>
          <w:p w:rsidR="009E2A9A" w:rsidRPr="007E517E" w:rsidRDefault="009E2A9A" w:rsidP="009E2A9A">
            <w:pPr>
              <w:jc w:val="both"/>
              <w:rPr>
                <w:rFonts w:ascii="Tahoma" w:hAnsi="Tahoma" w:cs="Tahoma"/>
                <w:b/>
              </w:rPr>
            </w:pPr>
          </w:p>
          <w:p w:rsidR="009E2A9A" w:rsidRPr="007E517E" w:rsidRDefault="009E2A9A" w:rsidP="009E2A9A">
            <w:pPr>
              <w:jc w:val="both"/>
              <w:rPr>
                <w:rFonts w:ascii="Tahoma" w:hAnsi="Tahoma" w:cs="Tahoma"/>
                <w:b/>
              </w:rPr>
            </w:pPr>
          </w:p>
          <w:p w:rsidR="009E2A9A" w:rsidRPr="007E517E" w:rsidRDefault="009E2A9A" w:rsidP="009E2A9A">
            <w:pPr>
              <w:jc w:val="both"/>
              <w:rPr>
                <w:rFonts w:ascii="Tahoma" w:hAnsi="Tahoma" w:cs="Tahoma"/>
                <w:b/>
              </w:rPr>
            </w:pPr>
          </w:p>
          <w:p w:rsidR="009E2A9A" w:rsidRPr="007E517E" w:rsidRDefault="009E2A9A" w:rsidP="009E2A9A">
            <w:pPr>
              <w:jc w:val="both"/>
              <w:rPr>
                <w:rFonts w:ascii="Tahoma" w:hAnsi="Tahoma" w:cs="Tahoma"/>
                <w:b/>
              </w:rPr>
            </w:pPr>
          </w:p>
        </w:tc>
      </w:tr>
      <w:tr w:rsidR="0066022A" w:rsidRPr="007E517E" w:rsidTr="009E2A9A">
        <w:trPr>
          <w:trHeight w:val="709"/>
          <w:jc w:val="center"/>
        </w:trPr>
        <w:tc>
          <w:tcPr>
            <w:tcW w:w="10419" w:type="dxa"/>
            <w:tcBorders>
              <w:top w:val="nil"/>
              <w:left w:val="nil"/>
              <w:bottom w:val="nil"/>
              <w:right w:val="nil"/>
            </w:tcBorders>
          </w:tcPr>
          <w:p w:rsidR="009E49F3" w:rsidRPr="007E517E" w:rsidRDefault="009E49F3" w:rsidP="009E49F3">
            <w:pPr>
              <w:jc w:val="both"/>
              <w:rPr>
                <w:rFonts w:ascii="Arial Narrow" w:hAnsi="Arial Narrow" w:cs="Tahoma"/>
                <w:b/>
                <w:sz w:val="18"/>
                <w:szCs w:val="18"/>
              </w:rPr>
            </w:pPr>
            <w:proofErr w:type="spellStart"/>
            <w:r w:rsidRPr="007E517E">
              <w:rPr>
                <w:rFonts w:ascii="Arial Narrow" w:hAnsi="Arial Narrow" w:cs="Tahoma"/>
                <w:b/>
                <w:sz w:val="18"/>
                <w:szCs w:val="18"/>
              </w:rPr>
              <w:t>Labour</w:t>
            </w:r>
            <w:proofErr w:type="spellEnd"/>
            <w:r w:rsidRPr="007E517E">
              <w:rPr>
                <w:rFonts w:ascii="Arial Narrow" w:hAnsi="Arial Narrow" w:cs="Tahoma"/>
                <w:b/>
                <w:sz w:val="18"/>
                <w:szCs w:val="18"/>
              </w:rPr>
              <w:t xml:space="preserve"> statistics</w:t>
            </w:r>
          </w:p>
          <w:p w:rsidR="009E49F3" w:rsidRPr="007E517E" w:rsidRDefault="009E49F3" w:rsidP="009E49F3">
            <w:pPr>
              <w:jc w:val="both"/>
              <w:rPr>
                <w:rFonts w:ascii="Arial Narrow" w:hAnsi="Arial Narrow" w:cs="Tahoma"/>
                <w:sz w:val="18"/>
                <w:szCs w:val="18"/>
              </w:rPr>
            </w:pPr>
            <w:proofErr w:type="spellStart"/>
            <w:r w:rsidRPr="007E517E">
              <w:rPr>
                <w:rFonts w:ascii="Arial Narrow" w:hAnsi="Arial Narrow" w:cs="Tahoma"/>
                <w:sz w:val="18"/>
                <w:szCs w:val="18"/>
              </w:rPr>
              <w:t>Biljana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Glušac</w:t>
            </w:r>
            <w:proofErr w:type="spellEnd"/>
          </w:p>
          <w:p w:rsidR="0066022A" w:rsidRPr="007E517E" w:rsidRDefault="00D8707D" w:rsidP="00A44E14">
            <w:pPr>
              <w:jc w:val="both"/>
              <w:rPr>
                <w:rFonts w:ascii="Arial Narrow" w:hAnsi="Arial Narrow" w:cs="Tahoma"/>
                <w:b/>
                <w:sz w:val="18"/>
                <w:szCs w:val="18"/>
              </w:rPr>
            </w:pPr>
            <w:hyperlink r:id="rId13" w:history="1">
              <w:r w:rsidR="0066022A" w:rsidRPr="007E517E">
                <w:rPr>
                  <w:rStyle w:val="Hyperlink"/>
                  <w:rFonts w:ascii="Arial Narrow" w:hAnsi="Arial Narrow" w:cs="Tahoma"/>
                  <w:color w:val="auto"/>
                  <w:sz w:val="18"/>
                  <w:szCs w:val="18"/>
                </w:rPr>
                <w:t>biljana.glusac@rzs.rs.ba</w:t>
              </w:r>
            </w:hyperlink>
            <w:r w:rsidR="0066022A" w:rsidRPr="007E517E">
              <w:rPr>
                <w:rFonts w:ascii="Arial Narrow" w:hAnsi="Arial Narrow" w:cs="Tahoma"/>
                <w:b/>
                <w:sz w:val="18"/>
                <w:szCs w:val="18"/>
              </w:rPr>
              <w:t xml:space="preserve"> </w:t>
            </w:r>
          </w:p>
          <w:p w:rsidR="00E31BF3" w:rsidRPr="007E517E" w:rsidRDefault="00E31BF3" w:rsidP="007B3C79">
            <w:pPr>
              <w:jc w:val="both"/>
              <w:rPr>
                <w:rFonts w:ascii="Arial Narrow" w:hAnsi="Arial Narrow" w:cs="Tahoma"/>
                <w:sz w:val="18"/>
                <w:szCs w:val="18"/>
              </w:rPr>
            </w:pPr>
          </w:p>
        </w:tc>
      </w:tr>
      <w:tr w:rsidR="0066022A" w:rsidRPr="007E517E" w:rsidTr="009E2A9A">
        <w:trPr>
          <w:trHeight w:val="720"/>
          <w:jc w:val="center"/>
        </w:trPr>
        <w:tc>
          <w:tcPr>
            <w:tcW w:w="10419" w:type="dxa"/>
            <w:tcBorders>
              <w:top w:val="nil"/>
              <w:left w:val="nil"/>
              <w:bottom w:val="nil"/>
              <w:right w:val="nil"/>
            </w:tcBorders>
          </w:tcPr>
          <w:p w:rsidR="009E49F3" w:rsidRPr="007E517E" w:rsidRDefault="009E49F3" w:rsidP="009E49F3">
            <w:pPr>
              <w:jc w:val="both"/>
              <w:rPr>
                <w:rFonts w:ascii="Arial Narrow" w:hAnsi="Arial Narrow" w:cs="Tahoma"/>
                <w:b/>
                <w:sz w:val="18"/>
                <w:szCs w:val="18"/>
              </w:rPr>
            </w:pPr>
            <w:r w:rsidRPr="007E517E">
              <w:rPr>
                <w:rFonts w:ascii="Arial Narrow" w:hAnsi="Arial Narrow" w:cs="Tahoma"/>
                <w:b/>
                <w:sz w:val="18"/>
                <w:szCs w:val="18"/>
              </w:rPr>
              <w:t>Prices statistics</w:t>
            </w:r>
          </w:p>
          <w:p w:rsidR="009E49F3" w:rsidRPr="007E517E" w:rsidRDefault="009E49F3" w:rsidP="009E49F3">
            <w:pPr>
              <w:jc w:val="both"/>
              <w:rPr>
                <w:rFonts w:ascii="Arial Narrow" w:hAnsi="Arial Narrow" w:cs="Tahoma"/>
                <w:sz w:val="18"/>
                <w:szCs w:val="18"/>
              </w:rPr>
            </w:pPr>
            <w:proofErr w:type="spellStart"/>
            <w:r w:rsidRPr="007E517E">
              <w:rPr>
                <w:rFonts w:ascii="Arial Narrow" w:hAnsi="Arial Narrow" w:cs="Tahoma"/>
                <w:sz w:val="18"/>
                <w:szCs w:val="18"/>
              </w:rPr>
              <w:t>Biljana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Tešić</w:t>
            </w:r>
            <w:proofErr w:type="spellEnd"/>
          </w:p>
          <w:p w:rsidR="0066022A" w:rsidRPr="007E517E" w:rsidRDefault="00D8707D" w:rsidP="00252DE1">
            <w:pPr>
              <w:jc w:val="both"/>
              <w:rPr>
                <w:rFonts w:ascii="Arial Narrow" w:hAnsi="Arial Narrow" w:cs="Tahoma"/>
                <w:sz w:val="18"/>
                <w:szCs w:val="18"/>
              </w:rPr>
            </w:pPr>
            <w:hyperlink r:id="rId14" w:history="1">
              <w:r w:rsidR="0066022A" w:rsidRPr="007E517E">
                <w:rPr>
                  <w:rStyle w:val="Hyperlink"/>
                  <w:rFonts w:ascii="Arial Narrow" w:hAnsi="Arial Narrow" w:cs="Tahoma"/>
                  <w:color w:val="auto"/>
                  <w:sz w:val="18"/>
                  <w:szCs w:val="18"/>
                </w:rPr>
                <w:t>Biljana.tesic@rzs.rs.ba</w:t>
              </w:r>
            </w:hyperlink>
          </w:p>
        </w:tc>
      </w:tr>
      <w:tr w:rsidR="0066022A" w:rsidRPr="007E517E" w:rsidTr="00AE6E63">
        <w:trPr>
          <w:trHeight w:hRule="exact" w:val="861"/>
          <w:jc w:val="center"/>
        </w:trPr>
        <w:tc>
          <w:tcPr>
            <w:tcW w:w="10419" w:type="dxa"/>
            <w:tcBorders>
              <w:top w:val="nil"/>
              <w:left w:val="nil"/>
              <w:bottom w:val="nil"/>
              <w:right w:val="nil"/>
            </w:tcBorders>
          </w:tcPr>
          <w:p w:rsidR="009E49F3" w:rsidRPr="007E517E" w:rsidRDefault="009E49F3" w:rsidP="009E49F3">
            <w:pPr>
              <w:jc w:val="both"/>
              <w:rPr>
                <w:rFonts w:ascii="Arial Narrow" w:hAnsi="Arial Narrow" w:cs="Tahoma"/>
                <w:b/>
                <w:sz w:val="18"/>
                <w:szCs w:val="18"/>
              </w:rPr>
            </w:pPr>
            <w:r w:rsidRPr="007E517E">
              <w:rPr>
                <w:rFonts w:ascii="Arial Narrow" w:hAnsi="Arial Narrow" w:cs="Tahoma"/>
                <w:b/>
                <w:sz w:val="18"/>
                <w:szCs w:val="18"/>
              </w:rPr>
              <w:t>Industry and mining statistics</w:t>
            </w:r>
          </w:p>
          <w:p w:rsidR="009E49F3" w:rsidRPr="007E517E" w:rsidRDefault="009E49F3" w:rsidP="009E49F3">
            <w:pPr>
              <w:jc w:val="both"/>
              <w:rPr>
                <w:rFonts w:ascii="Arial Narrow" w:hAnsi="Arial Narrow" w:cs="Tahoma"/>
                <w:sz w:val="18"/>
                <w:szCs w:val="18"/>
              </w:rPr>
            </w:pPr>
            <w:proofErr w:type="spellStart"/>
            <w:r w:rsidRPr="007E517E">
              <w:rPr>
                <w:rFonts w:ascii="Arial Narrow" w:hAnsi="Arial Narrow" w:cs="Tahoma"/>
                <w:sz w:val="18"/>
                <w:szCs w:val="18"/>
              </w:rPr>
              <w:t>Mirjana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Bandur</w:t>
            </w:r>
            <w:proofErr w:type="spellEnd"/>
          </w:p>
          <w:p w:rsidR="0066022A" w:rsidRPr="007E517E" w:rsidRDefault="00D8707D" w:rsidP="00A91B02">
            <w:pPr>
              <w:jc w:val="both"/>
              <w:rPr>
                <w:rFonts w:ascii="Arial Narrow" w:hAnsi="Arial Narrow" w:cs="Tahoma"/>
                <w:sz w:val="18"/>
                <w:szCs w:val="18"/>
              </w:rPr>
            </w:pPr>
            <w:hyperlink r:id="rId15" w:history="1">
              <w:r w:rsidR="0066022A" w:rsidRPr="007E517E">
                <w:rPr>
                  <w:rStyle w:val="Hyperlink"/>
                  <w:rFonts w:ascii="Arial Narrow" w:hAnsi="Arial Narrow" w:cs="Tahoma"/>
                  <w:color w:val="auto"/>
                  <w:sz w:val="18"/>
                  <w:szCs w:val="18"/>
                </w:rPr>
                <w:t>mirjana.bandur@rzs.rs.ba</w:t>
              </w:r>
            </w:hyperlink>
          </w:p>
        </w:tc>
      </w:tr>
      <w:tr w:rsidR="0066022A" w:rsidRPr="007E517E" w:rsidTr="009E2A9A">
        <w:trPr>
          <w:trHeight w:hRule="exact" w:val="680"/>
          <w:jc w:val="center"/>
        </w:trPr>
        <w:tc>
          <w:tcPr>
            <w:tcW w:w="10419" w:type="dxa"/>
            <w:tcBorders>
              <w:top w:val="nil"/>
              <w:left w:val="nil"/>
              <w:bottom w:val="nil"/>
              <w:right w:val="nil"/>
            </w:tcBorders>
          </w:tcPr>
          <w:p w:rsidR="009E49F3" w:rsidRPr="007E517E" w:rsidRDefault="009E49F3" w:rsidP="009E49F3">
            <w:pPr>
              <w:jc w:val="both"/>
              <w:rPr>
                <w:rFonts w:ascii="Arial Narrow" w:hAnsi="Arial Narrow" w:cs="Tahoma"/>
                <w:b/>
                <w:sz w:val="18"/>
                <w:szCs w:val="18"/>
              </w:rPr>
            </w:pPr>
            <w:r w:rsidRPr="007E517E">
              <w:rPr>
                <w:rFonts w:ascii="Arial Narrow" w:hAnsi="Arial Narrow" w:cs="Tahoma"/>
                <w:b/>
                <w:sz w:val="18"/>
                <w:szCs w:val="18"/>
              </w:rPr>
              <w:t>External trade statistics</w:t>
            </w:r>
          </w:p>
          <w:p w:rsidR="009E49F3" w:rsidRPr="007E517E" w:rsidRDefault="009E49F3" w:rsidP="009E49F3">
            <w:pPr>
              <w:jc w:val="both"/>
              <w:rPr>
                <w:rFonts w:ascii="Arial Narrow" w:hAnsi="Arial Narrow" w:cs="Tahoma"/>
                <w:sz w:val="18"/>
                <w:szCs w:val="18"/>
              </w:rPr>
            </w:pPr>
            <w:proofErr w:type="spellStart"/>
            <w:r w:rsidRPr="007E517E">
              <w:rPr>
                <w:rFonts w:ascii="Arial Narrow" w:hAnsi="Arial Narrow" w:cs="Tahoma"/>
                <w:sz w:val="18"/>
                <w:szCs w:val="18"/>
              </w:rPr>
              <w:t>Sanja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Stojčević</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Uvalić</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MSc</w:t>
            </w:r>
            <w:proofErr w:type="spellEnd"/>
          </w:p>
          <w:p w:rsidR="0066022A" w:rsidRPr="007E517E" w:rsidRDefault="00D8707D" w:rsidP="009E2A9A">
            <w:pPr>
              <w:jc w:val="both"/>
              <w:rPr>
                <w:rFonts w:ascii="Arial Narrow" w:hAnsi="Arial Narrow"/>
                <w:sz w:val="18"/>
                <w:szCs w:val="18"/>
              </w:rPr>
            </w:pPr>
            <w:hyperlink r:id="rId16" w:history="1">
              <w:r w:rsidR="0066022A" w:rsidRPr="007E517E">
                <w:rPr>
                  <w:rStyle w:val="Hyperlink"/>
                  <w:rFonts w:ascii="Arial Narrow" w:hAnsi="Arial Narrow" w:cs="Tahoma"/>
                  <w:color w:val="auto"/>
                  <w:sz w:val="18"/>
                  <w:szCs w:val="18"/>
                </w:rPr>
                <w:t>sanja.stojcevic@rzs.rs.ba</w:t>
              </w:r>
            </w:hyperlink>
          </w:p>
          <w:p w:rsidR="0066022A" w:rsidRPr="007E517E" w:rsidRDefault="0066022A" w:rsidP="009E2A9A">
            <w:pPr>
              <w:jc w:val="both"/>
              <w:rPr>
                <w:rFonts w:ascii="Arial Narrow" w:hAnsi="Arial Narrow"/>
                <w:sz w:val="18"/>
                <w:szCs w:val="18"/>
              </w:rPr>
            </w:pPr>
          </w:p>
          <w:p w:rsidR="0066022A" w:rsidRPr="007E517E" w:rsidRDefault="0066022A" w:rsidP="009E2A9A">
            <w:pPr>
              <w:jc w:val="both"/>
              <w:rPr>
                <w:rFonts w:ascii="Arial Narrow" w:hAnsi="Arial Narrow"/>
                <w:sz w:val="18"/>
                <w:szCs w:val="18"/>
              </w:rPr>
            </w:pPr>
          </w:p>
          <w:p w:rsidR="0066022A" w:rsidRPr="007E517E" w:rsidRDefault="0066022A" w:rsidP="009E2A9A">
            <w:pPr>
              <w:jc w:val="both"/>
              <w:rPr>
                <w:rFonts w:ascii="Arial Narrow" w:hAnsi="Arial Narrow" w:cs="Tahoma"/>
                <w:sz w:val="18"/>
                <w:szCs w:val="18"/>
              </w:rPr>
            </w:pPr>
          </w:p>
          <w:p w:rsidR="0066022A" w:rsidRPr="007E517E" w:rsidRDefault="0066022A" w:rsidP="009E2A9A">
            <w:pPr>
              <w:jc w:val="both"/>
              <w:rPr>
                <w:rFonts w:ascii="Arial Narrow" w:hAnsi="Arial Narrow" w:cs="Tahoma"/>
                <w:sz w:val="18"/>
                <w:szCs w:val="18"/>
              </w:rPr>
            </w:pPr>
          </w:p>
        </w:tc>
      </w:tr>
    </w:tbl>
    <w:p w:rsidR="009E2A9A" w:rsidRPr="007E517E" w:rsidRDefault="009E2A9A" w:rsidP="009E2A9A">
      <w:pPr>
        <w:tabs>
          <w:tab w:val="left" w:pos="300"/>
          <w:tab w:val="left" w:pos="1100"/>
        </w:tabs>
        <w:jc w:val="both"/>
        <w:rPr>
          <w:rFonts w:ascii="Tahoma" w:hAnsi="Tahoma" w:cs="Tahoma"/>
          <w:b/>
          <w:sz w:val="16"/>
          <w:szCs w:val="16"/>
        </w:rPr>
      </w:pPr>
    </w:p>
    <w:p w:rsidR="009E2A9A" w:rsidRPr="007E517E"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4C20B5" w:rsidRPr="007E517E" w:rsidTr="00B2585D">
        <w:trPr>
          <w:trHeight w:hRule="exact" w:val="1165"/>
          <w:jc w:val="center"/>
        </w:trPr>
        <w:tc>
          <w:tcPr>
            <w:tcW w:w="10646" w:type="dxa"/>
            <w:tcBorders>
              <w:top w:val="nil"/>
              <w:left w:val="nil"/>
              <w:bottom w:val="nil"/>
              <w:right w:val="nil"/>
            </w:tcBorders>
          </w:tcPr>
          <w:p w:rsidR="009E2A9A" w:rsidRPr="007E517E" w:rsidRDefault="009E2A9A" w:rsidP="009E2A9A">
            <w:pPr>
              <w:jc w:val="both"/>
              <w:rPr>
                <w:rFonts w:ascii="Arial Narrow" w:hAnsi="Arial Narrow" w:cs="Tahoma"/>
                <w:b/>
                <w:sz w:val="22"/>
              </w:rPr>
            </w:pPr>
          </w:p>
          <w:p w:rsidR="009E2A9A" w:rsidRPr="007E517E" w:rsidRDefault="009E2A9A" w:rsidP="009E2A9A">
            <w:pPr>
              <w:jc w:val="both"/>
              <w:rPr>
                <w:rFonts w:ascii="Arial Narrow" w:hAnsi="Arial Narrow" w:cs="Tahoma"/>
                <w:b/>
                <w:sz w:val="22"/>
              </w:rPr>
            </w:pPr>
          </w:p>
          <w:p w:rsidR="009E2A9A" w:rsidRPr="007E517E" w:rsidRDefault="009E2A9A" w:rsidP="009E2A9A">
            <w:pPr>
              <w:jc w:val="both"/>
              <w:rPr>
                <w:rFonts w:ascii="Arial Narrow" w:hAnsi="Arial Narrow" w:cs="Tahoma"/>
                <w:b/>
                <w:sz w:val="22"/>
              </w:rPr>
            </w:pPr>
          </w:p>
          <w:p w:rsidR="009E2A9A" w:rsidRPr="007E517E" w:rsidRDefault="009E49F3" w:rsidP="009E2A9A">
            <w:pPr>
              <w:jc w:val="both"/>
              <w:rPr>
                <w:rFonts w:ascii="Arial Narrow" w:hAnsi="Arial Narrow" w:cs="Tahoma"/>
                <w:b/>
                <w:sz w:val="22"/>
              </w:rPr>
            </w:pPr>
            <w:r w:rsidRPr="007E517E">
              <w:rPr>
                <w:rFonts w:ascii="Arial Narrow" w:hAnsi="Arial Narrow" w:cs="Tahoma"/>
                <w:b/>
                <w:sz w:val="22"/>
              </w:rPr>
              <w:t>SYMBOLS</w:t>
            </w:r>
          </w:p>
        </w:tc>
      </w:tr>
      <w:tr w:rsidR="009E2A9A" w:rsidRPr="007E517E" w:rsidTr="00B2585D">
        <w:trPr>
          <w:trHeight w:hRule="exact" w:val="1025"/>
          <w:jc w:val="center"/>
        </w:trPr>
        <w:tc>
          <w:tcPr>
            <w:tcW w:w="10646" w:type="dxa"/>
            <w:tcBorders>
              <w:top w:val="nil"/>
              <w:left w:val="nil"/>
              <w:bottom w:val="nil"/>
              <w:right w:val="nil"/>
            </w:tcBorders>
          </w:tcPr>
          <w:p w:rsidR="009E2A9A" w:rsidRPr="007E517E" w:rsidRDefault="009E2A9A" w:rsidP="009E2A9A">
            <w:pPr>
              <w:jc w:val="both"/>
              <w:rPr>
                <w:rFonts w:ascii="Arial Narrow" w:hAnsi="Arial Narrow" w:cs="Tahoma"/>
                <w:bCs/>
                <w:sz w:val="18"/>
                <w:szCs w:val="16"/>
              </w:rPr>
            </w:pPr>
            <w:r w:rsidRPr="007E517E">
              <w:rPr>
                <w:rFonts w:ascii="Arial Narrow" w:hAnsi="Arial Narrow" w:cs="Tahoma"/>
                <w:b/>
                <w:bCs/>
                <w:sz w:val="22"/>
              </w:rPr>
              <w:sym w:font="Symbol" w:char="00C6"/>
            </w:r>
            <w:r w:rsidRPr="007E517E">
              <w:rPr>
                <w:rFonts w:ascii="Arial Narrow" w:hAnsi="Arial Narrow" w:cs="Tahoma"/>
                <w:b/>
                <w:bCs/>
                <w:sz w:val="32"/>
                <w:szCs w:val="28"/>
              </w:rPr>
              <w:t xml:space="preserve"> </w:t>
            </w:r>
            <w:r w:rsidRPr="007E517E">
              <w:rPr>
                <w:rFonts w:ascii="Arial Narrow" w:hAnsi="Arial Narrow" w:cs="Tahoma"/>
                <w:bCs/>
                <w:sz w:val="18"/>
                <w:szCs w:val="16"/>
              </w:rPr>
              <w:t xml:space="preserve">- </w:t>
            </w:r>
            <w:r w:rsidR="009E49F3" w:rsidRPr="007E517E">
              <w:rPr>
                <w:rFonts w:ascii="Arial Narrow" w:hAnsi="Arial Narrow" w:cs="Tahoma"/>
                <w:bCs/>
                <w:sz w:val="18"/>
                <w:szCs w:val="16"/>
              </w:rPr>
              <w:t>average</w:t>
            </w:r>
          </w:p>
          <w:p w:rsidR="009E2A9A" w:rsidRPr="007E517E" w:rsidRDefault="00D61322" w:rsidP="00B538D0">
            <w:pPr>
              <w:rPr>
                <w:rFonts w:ascii="Arial Narrow" w:hAnsi="Arial Narrow" w:cs="Tahoma"/>
                <w:bCs/>
                <w:sz w:val="16"/>
                <w:szCs w:val="16"/>
              </w:rPr>
            </w:pPr>
            <w:r w:rsidRPr="007E517E">
              <w:rPr>
                <w:rFonts w:ascii="Arial Narrow" w:hAnsi="Arial Narrow" w:cs="Tahoma"/>
                <w:sz w:val="18"/>
                <w:szCs w:val="16"/>
                <w:lang w:eastAsia="sr-Latn-BA"/>
              </w:rPr>
              <w:t xml:space="preserve">¹ - </w:t>
            </w:r>
            <w:r w:rsidR="009E49F3" w:rsidRPr="007E517E">
              <w:rPr>
                <w:rFonts w:ascii="Arial Narrow" w:hAnsi="Arial Narrow" w:cs="Tahoma"/>
                <w:sz w:val="18"/>
                <w:szCs w:val="16"/>
                <w:lang w:eastAsia="sr-Latn-BA"/>
              </w:rPr>
              <w:t>estimate</w:t>
            </w:r>
          </w:p>
          <w:p w:rsidR="009E2A9A" w:rsidRPr="007E517E" w:rsidRDefault="009E2A9A" w:rsidP="009E2A9A">
            <w:pPr>
              <w:jc w:val="both"/>
              <w:rPr>
                <w:rFonts w:ascii="Tahoma" w:hAnsi="Tahoma" w:cs="Tahoma"/>
                <w:bCs/>
                <w:sz w:val="16"/>
                <w:szCs w:val="16"/>
              </w:rPr>
            </w:pPr>
          </w:p>
          <w:p w:rsidR="009E2A9A" w:rsidRPr="007E517E" w:rsidRDefault="009E2A9A" w:rsidP="009E2A9A">
            <w:pPr>
              <w:jc w:val="both"/>
              <w:rPr>
                <w:rFonts w:ascii="Tahoma" w:hAnsi="Tahoma" w:cs="Tahoma"/>
                <w:bCs/>
                <w:sz w:val="16"/>
                <w:szCs w:val="16"/>
              </w:rPr>
            </w:pPr>
          </w:p>
          <w:p w:rsidR="009E2A9A" w:rsidRPr="007E517E" w:rsidRDefault="009E2A9A" w:rsidP="009E2A9A">
            <w:pPr>
              <w:jc w:val="both"/>
              <w:rPr>
                <w:rFonts w:ascii="Tahoma" w:hAnsi="Tahoma" w:cs="Tahoma"/>
                <w:bCs/>
                <w:sz w:val="16"/>
                <w:szCs w:val="16"/>
              </w:rPr>
            </w:pPr>
          </w:p>
          <w:p w:rsidR="009E2A9A" w:rsidRPr="007E517E" w:rsidRDefault="009E2A9A" w:rsidP="009E2A9A">
            <w:pPr>
              <w:jc w:val="both"/>
              <w:rPr>
                <w:rFonts w:ascii="Tahoma" w:hAnsi="Tahoma" w:cs="Tahoma"/>
                <w:bCs/>
                <w:sz w:val="16"/>
                <w:szCs w:val="16"/>
              </w:rPr>
            </w:pPr>
          </w:p>
          <w:p w:rsidR="009E2A9A" w:rsidRPr="007E517E" w:rsidRDefault="009E2A9A" w:rsidP="009E2A9A">
            <w:pPr>
              <w:jc w:val="both"/>
              <w:rPr>
                <w:rFonts w:ascii="Tahoma" w:hAnsi="Tahoma" w:cs="Tahoma"/>
                <w:bCs/>
                <w:sz w:val="16"/>
                <w:szCs w:val="16"/>
              </w:rPr>
            </w:pPr>
          </w:p>
          <w:p w:rsidR="009E2A9A" w:rsidRPr="007E517E" w:rsidRDefault="009E2A9A" w:rsidP="009E2A9A">
            <w:pPr>
              <w:jc w:val="both"/>
              <w:rPr>
                <w:rFonts w:ascii="Tahoma" w:hAnsi="Tahoma" w:cs="Tahoma"/>
                <w:bCs/>
                <w:sz w:val="16"/>
                <w:szCs w:val="16"/>
              </w:rPr>
            </w:pPr>
          </w:p>
          <w:p w:rsidR="009E2A9A" w:rsidRPr="007E517E" w:rsidRDefault="009E2A9A" w:rsidP="009E2A9A">
            <w:pPr>
              <w:jc w:val="both"/>
              <w:rPr>
                <w:rFonts w:ascii="Tahoma" w:hAnsi="Tahoma" w:cs="Tahoma"/>
                <w:b/>
                <w:sz w:val="16"/>
              </w:rPr>
            </w:pPr>
          </w:p>
        </w:tc>
      </w:tr>
    </w:tbl>
    <w:p w:rsidR="00F04A4B" w:rsidRPr="007E517E" w:rsidRDefault="00F04A4B" w:rsidP="009E2A9A">
      <w:pPr>
        <w:tabs>
          <w:tab w:val="left" w:pos="300"/>
          <w:tab w:val="left" w:pos="1100"/>
        </w:tabs>
        <w:jc w:val="both"/>
        <w:rPr>
          <w:rFonts w:ascii="Tahoma" w:hAnsi="Tahoma" w:cs="Tahoma"/>
          <w:b/>
        </w:rPr>
      </w:pPr>
    </w:p>
    <w:p w:rsidR="002B070E" w:rsidRPr="007E517E" w:rsidRDefault="002B070E" w:rsidP="009E2A9A">
      <w:pPr>
        <w:tabs>
          <w:tab w:val="left" w:pos="300"/>
          <w:tab w:val="left" w:pos="1100"/>
        </w:tabs>
        <w:jc w:val="both"/>
        <w:rPr>
          <w:rFonts w:ascii="Tahoma" w:hAnsi="Tahoma" w:cs="Tahoma"/>
          <w:b/>
        </w:rPr>
      </w:pPr>
    </w:p>
    <w:p w:rsidR="002B070E" w:rsidRPr="007E517E" w:rsidRDefault="002B070E" w:rsidP="009E2A9A">
      <w:pPr>
        <w:tabs>
          <w:tab w:val="left" w:pos="300"/>
          <w:tab w:val="left" w:pos="1100"/>
        </w:tabs>
        <w:jc w:val="both"/>
        <w:rPr>
          <w:rFonts w:ascii="Tahoma" w:hAnsi="Tahoma" w:cs="Tahoma"/>
          <w:b/>
        </w:rPr>
      </w:pPr>
    </w:p>
    <w:p w:rsidR="000A1309" w:rsidRPr="007E517E" w:rsidRDefault="000A130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7B3C79" w:rsidRPr="007E517E" w:rsidRDefault="007B3C79" w:rsidP="009E2A9A">
      <w:pPr>
        <w:tabs>
          <w:tab w:val="left" w:pos="300"/>
          <w:tab w:val="left" w:pos="1100"/>
        </w:tabs>
        <w:jc w:val="both"/>
        <w:rPr>
          <w:rFonts w:ascii="Tahoma" w:hAnsi="Tahoma" w:cs="Tahoma"/>
          <w:b/>
        </w:rPr>
      </w:pPr>
    </w:p>
    <w:p w:rsidR="00586BCB" w:rsidRPr="007E517E" w:rsidRDefault="00586BCB" w:rsidP="009E2A9A">
      <w:pPr>
        <w:tabs>
          <w:tab w:val="left" w:pos="300"/>
          <w:tab w:val="left" w:pos="1100"/>
        </w:tabs>
        <w:jc w:val="both"/>
        <w:rPr>
          <w:rFonts w:ascii="Tahoma" w:hAnsi="Tahoma" w:cs="Tahoma"/>
          <w:b/>
        </w:rPr>
      </w:pPr>
    </w:p>
    <w:p w:rsidR="00586BCB" w:rsidRPr="007E517E" w:rsidRDefault="00586BCB" w:rsidP="009E2A9A">
      <w:pPr>
        <w:tabs>
          <w:tab w:val="left" w:pos="300"/>
          <w:tab w:val="left" w:pos="1100"/>
        </w:tabs>
        <w:jc w:val="both"/>
        <w:rPr>
          <w:rFonts w:ascii="Tahoma" w:hAnsi="Tahoma" w:cs="Tahoma"/>
          <w:b/>
        </w:rPr>
      </w:pPr>
    </w:p>
    <w:p w:rsidR="00586BCB" w:rsidRPr="007E517E" w:rsidRDefault="00586BCB" w:rsidP="009E2A9A">
      <w:pPr>
        <w:tabs>
          <w:tab w:val="left" w:pos="300"/>
          <w:tab w:val="left" w:pos="1100"/>
        </w:tabs>
        <w:jc w:val="both"/>
        <w:rPr>
          <w:rFonts w:ascii="Tahoma" w:hAnsi="Tahoma" w:cs="Tahoma"/>
          <w:b/>
        </w:rPr>
      </w:pPr>
    </w:p>
    <w:p w:rsidR="00586BCB" w:rsidRPr="007E517E" w:rsidRDefault="00586BCB" w:rsidP="009E2A9A">
      <w:pPr>
        <w:tabs>
          <w:tab w:val="left" w:pos="300"/>
          <w:tab w:val="left" w:pos="1100"/>
        </w:tabs>
        <w:jc w:val="both"/>
        <w:rPr>
          <w:rFonts w:ascii="Tahoma" w:hAnsi="Tahoma" w:cs="Tahoma"/>
          <w:b/>
        </w:rPr>
      </w:pPr>
    </w:p>
    <w:p w:rsidR="009E2A9A" w:rsidRPr="007E517E" w:rsidRDefault="00D8707D" w:rsidP="009E2A9A">
      <w:pPr>
        <w:tabs>
          <w:tab w:val="left" w:pos="300"/>
          <w:tab w:val="left" w:pos="1100"/>
        </w:tabs>
        <w:jc w:val="both"/>
        <w:rPr>
          <w:rFonts w:ascii="Tahoma" w:hAnsi="Tahoma" w:cs="Tahoma"/>
          <w:b/>
        </w:rPr>
      </w:pPr>
      <w:r w:rsidRPr="007E517E">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tblPr>
      <w:tblGrid>
        <w:gridCol w:w="10490"/>
      </w:tblGrid>
      <w:tr w:rsidR="004C20B5" w:rsidRPr="007E517E" w:rsidTr="00B2585D">
        <w:trPr>
          <w:trHeight w:hRule="exact" w:val="113"/>
        </w:trPr>
        <w:tc>
          <w:tcPr>
            <w:tcW w:w="10348" w:type="dxa"/>
            <w:tcMar>
              <w:left w:w="0" w:type="dxa"/>
              <w:right w:w="0" w:type="dxa"/>
            </w:tcMar>
          </w:tcPr>
          <w:p w:rsidR="009E2A9A" w:rsidRPr="007E517E" w:rsidRDefault="009E2A9A" w:rsidP="009E2A9A">
            <w:pPr>
              <w:jc w:val="both"/>
              <w:rPr>
                <w:rFonts w:ascii="Tahoma" w:hAnsi="Tahoma" w:cs="Tahoma"/>
                <w:sz w:val="16"/>
              </w:rPr>
            </w:pPr>
          </w:p>
        </w:tc>
      </w:tr>
      <w:tr w:rsidR="004C20B5" w:rsidRPr="007E517E" w:rsidTr="00B2585D">
        <w:tc>
          <w:tcPr>
            <w:tcW w:w="10348" w:type="dxa"/>
            <w:tcMar>
              <w:left w:w="0" w:type="dxa"/>
              <w:right w:w="0" w:type="dxa"/>
            </w:tcMar>
          </w:tcPr>
          <w:p w:rsidR="009E2A9A" w:rsidRPr="007E517E" w:rsidRDefault="009E49F3" w:rsidP="009E2A9A">
            <w:pPr>
              <w:jc w:val="center"/>
              <w:rPr>
                <w:rFonts w:ascii="Arial Narrow" w:hAnsi="Arial Narrow" w:cs="Tahoma"/>
                <w:sz w:val="16"/>
                <w:szCs w:val="16"/>
              </w:rPr>
            </w:pPr>
            <w:r w:rsidRPr="007E517E">
              <w:rPr>
                <w:rFonts w:ascii="Arial Narrow" w:hAnsi="Arial Narrow" w:cs="Tahoma"/>
                <w:sz w:val="18"/>
              </w:rPr>
              <w:t>The Release prepared by the Publications Division</w:t>
            </w:r>
          </w:p>
        </w:tc>
      </w:tr>
      <w:tr w:rsidR="004C20B5" w:rsidRPr="007E517E" w:rsidTr="00B2585D">
        <w:trPr>
          <w:trHeight w:val="1603"/>
        </w:trPr>
        <w:tc>
          <w:tcPr>
            <w:tcW w:w="10348" w:type="dxa"/>
            <w:tcMar>
              <w:left w:w="0" w:type="dxa"/>
              <w:right w:w="0" w:type="dxa"/>
            </w:tcMar>
          </w:tcPr>
          <w:p w:rsidR="009E49F3" w:rsidRPr="007E517E" w:rsidRDefault="009E49F3" w:rsidP="009E49F3">
            <w:pPr>
              <w:autoSpaceDE w:val="0"/>
              <w:autoSpaceDN w:val="0"/>
              <w:adjustRightInd w:val="0"/>
              <w:jc w:val="center"/>
              <w:rPr>
                <w:rFonts w:ascii="Arial Narrow" w:hAnsi="Arial Narrow" w:cs="Tahoma"/>
                <w:sz w:val="18"/>
                <w:szCs w:val="18"/>
              </w:rPr>
            </w:pPr>
            <w:proofErr w:type="spellStart"/>
            <w:r w:rsidRPr="007E517E">
              <w:rPr>
                <w:rFonts w:ascii="Arial Narrow" w:hAnsi="Arial Narrow" w:cs="Tahoma"/>
                <w:sz w:val="18"/>
                <w:szCs w:val="18"/>
              </w:rPr>
              <w:t>Vladan</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Sibinović</w:t>
            </w:r>
            <w:proofErr w:type="spellEnd"/>
            <w:r w:rsidRPr="007E517E">
              <w:rPr>
                <w:rFonts w:ascii="Arial Narrow" w:hAnsi="Arial Narrow" w:cs="Tahoma"/>
                <w:sz w:val="18"/>
                <w:szCs w:val="18"/>
              </w:rPr>
              <w:t>, Head of the Division</w:t>
            </w:r>
          </w:p>
          <w:p w:rsidR="009E49F3" w:rsidRPr="007E517E" w:rsidRDefault="009E49F3" w:rsidP="009E49F3">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Published by the Republika Srpska Institute of Statistics,</w:t>
            </w:r>
          </w:p>
          <w:p w:rsidR="009E49F3" w:rsidRPr="007E517E" w:rsidRDefault="009E49F3" w:rsidP="009E49F3">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 xml:space="preserve">Republika Srpska, </w:t>
            </w:r>
            <w:proofErr w:type="spellStart"/>
            <w:r w:rsidRPr="007E517E">
              <w:rPr>
                <w:rFonts w:ascii="Arial Narrow" w:hAnsi="Arial Narrow" w:cs="Tahoma"/>
                <w:sz w:val="18"/>
                <w:szCs w:val="18"/>
              </w:rPr>
              <w:t>Banja</w:t>
            </w:r>
            <w:proofErr w:type="spellEnd"/>
            <w:r w:rsidRPr="007E517E">
              <w:rPr>
                <w:rFonts w:ascii="Arial Narrow" w:hAnsi="Arial Narrow" w:cs="Tahoma"/>
                <w:sz w:val="18"/>
                <w:szCs w:val="18"/>
              </w:rPr>
              <w:t xml:space="preserve"> Luka, </w:t>
            </w:r>
            <w:proofErr w:type="spellStart"/>
            <w:r w:rsidRPr="007E517E">
              <w:rPr>
                <w:rFonts w:ascii="Arial Narrow" w:hAnsi="Arial Narrow" w:cs="Tahoma"/>
                <w:sz w:val="18"/>
                <w:szCs w:val="18"/>
              </w:rPr>
              <w:t>Veljka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Mlađenovića</w:t>
            </w:r>
            <w:proofErr w:type="spellEnd"/>
            <w:r w:rsidRPr="007E517E">
              <w:rPr>
                <w:rFonts w:ascii="Arial Narrow" w:hAnsi="Arial Narrow" w:cs="Tahoma"/>
                <w:sz w:val="18"/>
                <w:szCs w:val="18"/>
              </w:rPr>
              <w:t xml:space="preserve"> 12d</w:t>
            </w:r>
          </w:p>
          <w:p w:rsidR="009E49F3" w:rsidRPr="007E517E" w:rsidRDefault="009E49F3" w:rsidP="009E49F3">
            <w:pPr>
              <w:autoSpaceDE w:val="0"/>
              <w:autoSpaceDN w:val="0"/>
              <w:adjustRightInd w:val="0"/>
              <w:jc w:val="center"/>
              <w:rPr>
                <w:rFonts w:ascii="Arial Narrow" w:hAnsi="Arial Narrow" w:cs="Tahoma"/>
                <w:sz w:val="18"/>
                <w:szCs w:val="18"/>
              </w:rPr>
            </w:pPr>
            <w:proofErr w:type="spellStart"/>
            <w:r w:rsidRPr="007E517E">
              <w:rPr>
                <w:rFonts w:ascii="Arial Narrow" w:hAnsi="Arial Narrow" w:cs="Tahoma"/>
                <w:sz w:val="18"/>
                <w:szCs w:val="18"/>
              </w:rPr>
              <w:t>Radmila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Čičković</w:t>
            </w:r>
            <w:proofErr w:type="spellEnd"/>
            <w:r w:rsidRPr="007E517E">
              <w:rPr>
                <w:rFonts w:ascii="Arial Narrow" w:hAnsi="Arial Narrow" w:cs="Tahoma"/>
                <w:sz w:val="18"/>
                <w:szCs w:val="18"/>
              </w:rPr>
              <w:t>, PhD, Director General of the Institute</w:t>
            </w:r>
          </w:p>
          <w:p w:rsidR="009E49F3" w:rsidRPr="007E517E" w:rsidRDefault="009E49F3" w:rsidP="009E49F3">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The Release is published online at: www.rzs.rs.ba</w:t>
            </w:r>
          </w:p>
          <w:p w:rsidR="009E49F3" w:rsidRPr="007E517E" w:rsidRDefault="009E49F3" w:rsidP="009E49F3">
            <w:pPr>
              <w:jc w:val="center"/>
            </w:pPr>
            <w:r w:rsidRPr="007E517E">
              <w:rPr>
                <w:rFonts w:ascii="Arial Narrow" w:hAnsi="Arial Narrow" w:cs="Tahoma"/>
                <w:sz w:val="18"/>
                <w:szCs w:val="18"/>
              </w:rPr>
              <w:t xml:space="preserve">telephone +387 51 332 700; e-mail: </w:t>
            </w:r>
            <w:hyperlink r:id="rId17" w:history="1">
              <w:r w:rsidRPr="007E517E">
                <w:rPr>
                  <w:rStyle w:val="Hyperlink"/>
                  <w:rFonts w:ascii="Arial Narrow" w:hAnsi="Arial Narrow" w:cs="Tahoma"/>
                  <w:color w:val="auto"/>
                  <w:sz w:val="18"/>
                  <w:szCs w:val="18"/>
                </w:rPr>
                <w:t>stat@rzs.rs.ba</w:t>
              </w:r>
            </w:hyperlink>
          </w:p>
          <w:p w:rsidR="009E49F3" w:rsidRPr="007E517E" w:rsidRDefault="009E49F3" w:rsidP="009E49F3">
            <w:pPr>
              <w:jc w:val="center"/>
              <w:rPr>
                <w:rFonts w:ascii="Tahoma" w:hAnsi="Tahoma" w:cs="Tahoma"/>
                <w:b/>
                <w:bCs/>
                <w:sz w:val="16"/>
              </w:rPr>
            </w:pPr>
          </w:p>
          <w:p w:rsidR="009E2A9A" w:rsidRPr="007E517E" w:rsidRDefault="009E49F3" w:rsidP="009E49F3">
            <w:pPr>
              <w:autoSpaceDE w:val="0"/>
              <w:autoSpaceDN w:val="0"/>
              <w:adjustRightInd w:val="0"/>
              <w:ind w:left="-198"/>
              <w:jc w:val="center"/>
              <w:rPr>
                <w:rFonts w:ascii="Arial Narrow" w:hAnsi="Arial Narrow" w:cs="Tahoma"/>
                <w:b/>
                <w:bCs/>
                <w:sz w:val="16"/>
                <w:szCs w:val="18"/>
              </w:rPr>
            </w:pPr>
            <w:r w:rsidRPr="007E517E">
              <w:rPr>
                <w:rFonts w:ascii="Arial Narrow" w:hAnsi="Arial Narrow" w:cs="Tahoma"/>
                <w:b/>
                <w:bCs/>
                <w:sz w:val="18"/>
              </w:rPr>
              <w:t xml:space="preserve">Data may be used provided the source is </w:t>
            </w:r>
            <w:proofErr w:type="spellStart"/>
            <w:r w:rsidRPr="007E517E">
              <w:rPr>
                <w:rFonts w:ascii="Arial Narrow" w:hAnsi="Arial Narrow" w:cs="Tahoma"/>
                <w:b/>
                <w:bCs/>
                <w:sz w:val="18"/>
              </w:rPr>
              <w:t>acknowledged</w:t>
            </w:r>
            <w:r w:rsidR="009E2A9A" w:rsidRPr="007E517E">
              <w:rPr>
                <w:rFonts w:ascii="Arial Narrow" w:hAnsi="Arial Narrow" w:cs="Tahoma"/>
                <w:b/>
                <w:bCs/>
                <w:sz w:val="18"/>
              </w:rPr>
              <w:t>извор</w:t>
            </w:r>
            <w:proofErr w:type="spellEnd"/>
          </w:p>
        </w:tc>
      </w:tr>
    </w:tbl>
    <w:p w:rsidR="009E2A9A" w:rsidRPr="007E517E" w:rsidRDefault="00D8707D" w:rsidP="009E2A9A">
      <w:pPr>
        <w:rPr>
          <w:rFonts w:ascii="Tahoma" w:hAnsi="Tahoma" w:cs="Tahoma"/>
        </w:rPr>
      </w:pPr>
      <w:r w:rsidRPr="007E517E">
        <w:rPr>
          <w:rFonts w:ascii="Tahoma" w:hAnsi="Tahoma" w:cs="Tahoma"/>
          <w:noProof/>
          <w:lang w:eastAsia="bs-Latn-BA"/>
        </w:rPr>
        <w:pict>
          <v:line id="_x0000_s1071" style="position:absolute;z-index:251667456;mso-position-horizontal-relative:text;mso-position-vertical-relative:text" from="-2.5pt,108.2pt" to="510.5pt,108.2pt" strokecolor="#376ea5" strokeweight="1.5pt"/>
        </w:pict>
      </w:r>
    </w:p>
    <w:p w:rsidR="009E2A9A" w:rsidRPr="007E517E" w:rsidRDefault="009E2A9A" w:rsidP="009E2A9A">
      <w:pPr>
        <w:rPr>
          <w:rFonts w:ascii="Tahoma" w:hAnsi="Tahoma" w:cs="Tahoma"/>
        </w:rPr>
      </w:pPr>
    </w:p>
    <w:sectPr w:rsidR="009E2A9A" w:rsidRPr="007E517E" w:rsidSect="0076768F">
      <w:headerReference w:type="default" r:id="rId18"/>
      <w:footerReference w:type="default" r:id="rId19"/>
      <w:footerReference w:type="first" r:id="rId20"/>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ABA" w:rsidRDefault="00B16ABA">
      <w:r>
        <w:separator/>
      </w:r>
    </w:p>
  </w:endnote>
  <w:endnote w:type="continuationSeparator" w:id="0">
    <w:p w:rsidR="00B16ABA" w:rsidRDefault="00B16A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01"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BA" w:rsidRDefault="00B16ABA"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B16ABA" w:rsidRPr="00175687" w:rsidRDefault="00B16ABA"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E517E">
                    <w:rPr>
                      <w:rFonts w:ascii="Tahoma" w:hAnsi="Tahoma" w:cs="Tahoma"/>
                      <w:noProof/>
                      <w:color w:val="FFFFFF"/>
                    </w:rPr>
                    <w:t>5</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BA" w:rsidRDefault="00B16ABA"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B16ABA" w:rsidRPr="00175687" w:rsidRDefault="00B16ABA"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E517E">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ABA" w:rsidRDefault="00B16ABA">
      <w:r>
        <w:separator/>
      </w:r>
    </w:p>
  </w:footnote>
  <w:footnote w:type="continuationSeparator" w:id="0">
    <w:p w:rsidR="00B16ABA" w:rsidRDefault="00B16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375"/>
      <w:gridCol w:w="7062"/>
    </w:tblGrid>
    <w:tr w:rsidR="00B16ABA">
      <w:tc>
        <w:tcPr>
          <w:tcW w:w="1617" w:type="pct"/>
          <w:tcBorders>
            <w:bottom w:val="single" w:sz="4" w:space="0" w:color="943634"/>
          </w:tcBorders>
          <w:shd w:val="clear" w:color="auto" w:fill="365F91"/>
          <w:vAlign w:val="bottom"/>
        </w:tcPr>
        <w:p w:rsidR="00B16ABA" w:rsidRPr="009E49F3" w:rsidRDefault="00B16ABA"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B16ABA" w:rsidRPr="009E49F3" w:rsidRDefault="00B16ABA" w:rsidP="00E34FA2">
          <w:pPr>
            <w:pStyle w:val="Header"/>
            <w:rPr>
              <w:rFonts w:ascii="Arial Narrow" w:hAnsi="Arial Narrow"/>
              <w:color w:val="FFFFFF"/>
            </w:rPr>
          </w:pPr>
          <w:r>
            <w:rPr>
              <w:rFonts w:ascii="Arial Narrow" w:hAnsi="Arial Narrow" w:cs="Tahoma"/>
              <w:b/>
              <w:color w:val="FFFFFF"/>
              <w:sz w:val="22"/>
            </w:rPr>
            <w:t xml:space="preserve">PRESS RELEASE </w:t>
          </w:r>
        </w:p>
      </w:tc>
      <w:tc>
        <w:tcPr>
          <w:tcW w:w="3383" w:type="pct"/>
          <w:tcBorders>
            <w:bottom w:val="single" w:sz="4" w:space="0" w:color="auto"/>
          </w:tcBorders>
          <w:vAlign w:val="bottom"/>
        </w:tcPr>
        <w:p w:rsidR="00B16ABA" w:rsidRPr="005D5311" w:rsidRDefault="00B16ABA" w:rsidP="009E49F3">
          <w:pPr>
            <w:pStyle w:val="Header"/>
            <w:rPr>
              <w:bCs/>
              <w:color w:val="76923C"/>
              <w:sz w:val="24"/>
              <w:szCs w:val="24"/>
              <w:lang w:val="bs-Cyrl-BA"/>
            </w:rPr>
          </w:pPr>
          <w:r w:rsidRPr="00DB5870">
            <w:rPr>
              <w:rFonts w:ascii="Arial Narrow" w:hAnsi="Arial Narrow" w:cs="Tahoma"/>
              <w:color w:val="0070C0"/>
              <w:sz w:val="18"/>
              <w:lang w:val="sr-Cyrl-BA"/>
            </w:rPr>
            <w:t>[2</w:t>
          </w:r>
          <w:r>
            <w:rPr>
              <w:rFonts w:ascii="Arial Narrow" w:hAnsi="Arial Narrow" w:cs="Tahoma"/>
              <w:color w:val="0070C0"/>
              <w:sz w:val="18"/>
              <w:lang w:val="sr-Cyrl-BA"/>
            </w:rPr>
            <w:t>4</w:t>
          </w:r>
          <w:proofErr w:type="spellStart"/>
          <w:r w:rsidRPr="009E49F3">
            <w:rPr>
              <w:rFonts w:ascii="Arial Narrow" w:hAnsi="Arial Narrow" w:cs="Tahoma"/>
              <w:color w:val="0070C0"/>
              <w:sz w:val="18"/>
              <w:vertAlign w:val="superscript"/>
            </w:rPr>
            <w:t>th</w:t>
          </w:r>
          <w:proofErr w:type="spellEnd"/>
          <w:r>
            <w:rPr>
              <w:rFonts w:ascii="Arial Narrow" w:hAnsi="Arial Narrow" w:cs="Tahoma"/>
              <w:color w:val="0070C0"/>
              <w:sz w:val="18"/>
            </w:rPr>
            <w:t xml:space="preserve"> August </w:t>
          </w:r>
          <w:r w:rsidRPr="00DB5870">
            <w:rPr>
              <w:rFonts w:ascii="Arial Narrow" w:hAnsi="Arial Narrow" w:cs="Tahoma"/>
              <w:color w:val="0070C0"/>
              <w:sz w:val="18"/>
              <w:lang w:val="sr-Cyrl-BA"/>
            </w:rPr>
            <w:t>201</w:t>
          </w:r>
          <w:r>
            <w:rPr>
              <w:rFonts w:ascii="Arial Narrow" w:hAnsi="Arial Narrow" w:cs="Tahoma"/>
              <w:color w:val="0070C0"/>
              <w:sz w:val="18"/>
              <w:lang w:val="sr-Cyrl-BA"/>
            </w:rPr>
            <w:t>5</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8</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w:t>
          </w:r>
          <w:r>
            <w:rPr>
              <w:rFonts w:ascii="Arial Narrow" w:hAnsi="Arial Narrow" w:cs="Tahoma"/>
              <w:b/>
              <w:color w:val="0070C0"/>
              <w:sz w:val="34"/>
              <w:szCs w:val="34"/>
              <w:lang w:val="sr-Cyrl-BA"/>
            </w:rPr>
            <w:t>5</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B16ABA" w:rsidRDefault="00B16ABA" w:rsidP="006D0CE1">
    <w:pPr>
      <w:pStyle w:val="Header"/>
      <w:ind w:right="360"/>
      <w:rPr>
        <w:rFonts w:ascii="Tahoma" w:hAnsi="Tahoma" w:cs="Tahoma"/>
        <w:sz w:val="16"/>
        <w:lang w:val="sr-Latn-CS"/>
      </w:rPr>
    </w:pPr>
    <w:r w:rsidRPr="00D8707D">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366"/>
    <w:rsid w:val="0000385A"/>
    <w:rsid w:val="00003C36"/>
    <w:rsid w:val="00003DB0"/>
    <w:rsid w:val="00003E67"/>
    <w:rsid w:val="0000448E"/>
    <w:rsid w:val="00004492"/>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97F"/>
    <w:rsid w:val="00010B41"/>
    <w:rsid w:val="000110A0"/>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D61"/>
    <w:rsid w:val="0002401D"/>
    <w:rsid w:val="00024D86"/>
    <w:rsid w:val="0002500A"/>
    <w:rsid w:val="0002526D"/>
    <w:rsid w:val="00025429"/>
    <w:rsid w:val="000254D0"/>
    <w:rsid w:val="0002599F"/>
    <w:rsid w:val="000260ED"/>
    <w:rsid w:val="00026206"/>
    <w:rsid w:val="00026529"/>
    <w:rsid w:val="000266D0"/>
    <w:rsid w:val="00026A26"/>
    <w:rsid w:val="00026BC5"/>
    <w:rsid w:val="00026BD1"/>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3C1"/>
    <w:rsid w:val="0007340D"/>
    <w:rsid w:val="0007341E"/>
    <w:rsid w:val="00073AB3"/>
    <w:rsid w:val="00073DC1"/>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7AA"/>
    <w:rsid w:val="00082912"/>
    <w:rsid w:val="00082C41"/>
    <w:rsid w:val="00082D67"/>
    <w:rsid w:val="00082DA2"/>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6C60"/>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D3E"/>
    <w:rsid w:val="000F0E12"/>
    <w:rsid w:val="000F0E43"/>
    <w:rsid w:val="000F0FB0"/>
    <w:rsid w:val="000F1185"/>
    <w:rsid w:val="000F1EDA"/>
    <w:rsid w:val="000F2712"/>
    <w:rsid w:val="000F27B9"/>
    <w:rsid w:val="000F2FBE"/>
    <w:rsid w:val="000F4C35"/>
    <w:rsid w:val="000F4CE7"/>
    <w:rsid w:val="000F4DE8"/>
    <w:rsid w:val="000F55DE"/>
    <w:rsid w:val="000F5794"/>
    <w:rsid w:val="000F57F7"/>
    <w:rsid w:val="000F5F23"/>
    <w:rsid w:val="000F5F69"/>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24D"/>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3E2A"/>
    <w:rsid w:val="00164E59"/>
    <w:rsid w:val="001655F9"/>
    <w:rsid w:val="0016574C"/>
    <w:rsid w:val="001658E6"/>
    <w:rsid w:val="001658F6"/>
    <w:rsid w:val="00165B0F"/>
    <w:rsid w:val="00165FE9"/>
    <w:rsid w:val="001664E5"/>
    <w:rsid w:val="001665AD"/>
    <w:rsid w:val="00166C85"/>
    <w:rsid w:val="0016733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9CE"/>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9B1"/>
    <w:rsid w:val="001C6A6F"/>
    <w:rsid w:val="001C6F45"/>
    <w:rsid w:val="001C703B"/>
    <w:rsid w:val="001C7275"/>
    <w:rsid w:val="001C77AB"/>
    <w:rsid w:val="001C787F"/>
    <w:rsid w:val="001D0554"/>
    <w:rsid w:val="001D0F80"/>
    <w:rsid w:val="001D1B61"/>
    <w:rsid w:val="001D1C4F"/>
    <w:rsid w:val="001D1E13"/>
    <w:rsid w:val="001D1FE4"/>
    <w:rsid w:val="001D2625"/>
    <w:rsid w:val="001D2676"/>
    <w:rsid w:val="001D2989"/>
    <w:rsid w:val="001D2A95"/>
    <w:rsid w:val="001D2CF2"/>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9D5"/>
    <w:rsid w:val="00235B39"/>
    <w:rsid w:val="00235CB0"/>
    <w:rsid w:val="00235D8A"/>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982"/>
    <w:rsid w:val="002A26CF"/>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5FB"/>
    <w:rsid w:val="002B58E2"/>
    <w:rsid w:val="002B5908"/>
    <w:rsid w:val="002B5FFC"/>
    <w:rsid w:val="002B6015"/>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24F0"/>
    <w:rsid w:val="002E252D"/>
    <w:rsid w:val="002E2536"/>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1CF"/>
    <w:rsid w:val="0031435D"/>
    <w:rsid w:val="00314EDA"/>
    <w:rsid w:val="00316671"/>
    <w:rsid w:val="003169EF"/>
    <w:rsid w:val="003170C4"/>
    <w:rsid w:val="00317BE9"/>
    <w:rsid w:val="00317F21"/>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3311"/>
    <w:rsid w:val="00373641"/>
    <w:rsid w:val="003736D2"/>
    <w:rsid w:val="0037389E"/>
    <w:rsid w:val="00373D2D"/>
    <w:rsid w:val="00374009"/>
    <w:rsid w:val="0037455A"/>
    <w:rsid w:val="00374A5B"/>
    <w:rsid w:val="00374E8D"/>
    <w:rsid w:val="003751C6"/>
    <w:rsid w:val="00375352"/>
    <w:rsid w:val="00376624"/>
    <w:rsid w:val="003766C3"/>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DB1"/>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E54"/>
    <w:rsid w:val="003E6516"/>
    <w:rsid w:val="003E6751"/>
    <w:rsid w:val="003E7689"/>
    <w:rsid w:val="003E793A"/>
    <w:rsid w:val="003F02D9"/>
    <w:rsid w:val="003F0BB4"/>
    <w:rsid w:val="003F0CE8"/>
    <w:rsid w:val="003F0D72"/>
    <w:rsid w:val="003F0E9A"/>
    <w:rsid w:val="003F0FB9"/>
    <w:rsid w:val="003F110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7D"/>
    <w:rsid w:val="003F6B57"/>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1E96"/>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DFD"/>
    <w:rsid w:val="00430550"/>
    <w:rsid w:val="00430D76"/>
    <w:rsid w:val="00430E65"/>
    <w:rsid w:val="004319F0"/>
    <w:rsid w:val="00431CF6"/>
    <w:rsid w:val="00431EFB"/>
    <w:rsid w:val="00431FA7"/>
    <w:rsid w:val="00432260"/>
    <w:rsid w:val="004323F5"/>
    <w:rsid w:val="0043250A"/>
    <w:rsid w:val="004325DE"/>
    <w:rsid w:val="004325F0"/>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ECB"/>
    <w:rsid w:val="00457F03"/>
    <w:rsid w:val="0046013D"/>
    <w:rsid w:val="004604EB"/>
    <w:rsid w:val="00460578"/>
    <w:rsid w:val="004607C9"/>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340"/>
    <w:rsid w:val="00482397"/>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41A"/>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079"/>
    <w:rsid w:val="004B642C"/>
    <w:rsid w:val="004B65B0"/>
    <w:rsid w:val="004B6831"/>
    <w:rsid w:val="004B6832"/>
    <w:rsid w:val="004B6841"/>
    <w:rsid w:val="004B684A"/>
    <w:rsid w:val="004B6FC7"/>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E81"/>
    <w:rsid w:val="004C7FE4"/>
    <w:rsid w:val="004D012D"/>
    <w:rsid w:val="004D047A"/>
    <w:rsid w:val="004D0DAE"/>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6D03"/>
    <w:rsid w:val="004D703F"/>
    <w:rsid w:val="004D711C"/>
    <w:rsid w:val="004D740C"/>
    <w:rsid w:val="004D7803"/>
    <w:rsid w:val="004D7874"/>
    <w:rsid w:val="004D7CA9"/>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69D8"/>
    <w:rsid w:val="00576B31"/>
    <w:rsid w:val="00576C77"/>
    <w:rsid w:val="0057714E"/>
    <w:rsid w:val="005771B5"/>
    <w:rsid w:val="005772D9"/>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E85"/>
    <w:rsid w:val="00587077"/>
    <w:rsid w:val="005875BA"/>
    <w:rsid w:val="005878D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643"/>
    <w:rsid w:val="005E790C"/>
    <w:rsid w:val="005F0733"/>
    <w:rsid w:val="005F07B6"/>
    <w:rsid w:val="005F0A6A"/>
    <w:rsid w:val="005F0AE8"/>
    <w:rsid w:val="005F0FD4"/>
    <w:rsid w:val="005F13EC"/>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40D5"/>
    <w:rsid w:val="00624567"/>
    <w:rsid w:val="00624876"/>
    <w:rsid w:val="00624B78"/>
    <w:rsid w:val="00624CFB"/>
    <w:rsid w:val="00624DBD"/>
    <w:rsid w:val="00624EDA"/>
    <w:rsid w:val="00625174"/>
    <w:rsid w:val="0062578C"/>
    <w:rsid w:val="006257F4"/>
    <w:rsid w:val="00625F70"/>
    <w:rsid w:val="00626270"/>
    <w:rsid w:val="006268EA"/>
    <w:rsid w:val="00626CC8"/>
    <w:rsid w:val="00627AE8"/>
    <w:rsid w:val="00627CD1"/>
    <w:rsid w:val="00627F78"/>
    <w:rsid w:val="00630207"/>
    <w:rsid w:val="00630452"/>
    <w:rsid w:val="006309EA"/>
    <w:rsid w:val="006312E8"/>
    <w:rsid w:val="00631FAD"/>
    <w:rsid w:val="00632574"/>
    <w:rsid w:val="00632AA3"/>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B02"/>
    <w:rsid w:val="00640D78"/>
    <w:rsid w:val="006411A4"/>
    <w:rsid w:val="00641561"/>
    <w:rsid w:val="0064294C"/>
    <w:rsid w:val="0064319E"/>
    <w:rsid w:val="006442B0"/>
    <w:rsid w:val="00644528"/>
    <w:rsid w:val="006447A9"/>
    <w:rsid w:val="00644AF4"/>
    <w:rsid w:val="00644BBF"/>
    <w:rsid w:val="00645033"/>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939"/>
    <w:rsid w:val="0066022A"/>
    <w:rsid w:val="00660381"/>
    <w:rsid w:val="00660409"/>
    <w:rsid w:val="00660A00"/>
    <w:rsid w:val="00660A85"/>
    <w:rsid w:val="00660DC6"/>
    <w:rsid w:val="00661850"/>
    <w:rsid w:val="00661EE6"/>
    <w:rsid w:val="00662052"/>
    <w:rsid w:val="00662279"/>
    <w:rsid w:val="006622E1"/>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3D83"/>
    <w:rsid w:val="00673ECA"/>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DCA"/>
    <w:rsid w:val="00681593"/>
    <w:rsid w:val="00681670"/>
    <w:rsid w:val="00681B4A"/>
    <w:rsid w:val="00681DDD"/>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137"/>
    <w:rsid w:val="006A64E0"/>
    <w:rsid w:val="006A669E"/>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1EDE"/>
    <w:rsid w:val="006D2998"/>
    <w:rsid w:val="006D3047"/>
    <w:rsid w:val="006D4010"/>
    <w:rsid w:val="006D4733"/>
    <w:rsid w:val="006D4CC2"/>
    <w:rsid w:val="006D4DEF"/>
    <w:rsid w:val="006D57FE"/>
    <w:rsid w:val="006D5EA6"/>
    <w:rsid w:val="006D5FD8"/>
    <w:rsid w:val="006D604D"/>
    <w:rsid w:val="006D634C"/>
    <w:rsid w:val="006D6D50"/>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F001E"/>
    <w:rsid w:val="006F0082"/>
    <w:rsid w:val="006F01FB"/>
    <w:rsid w:val="006F078A"/>
    <w:rsid w:val="006F0A3F"/>
    <w:rsid w:val="006F1026"/>
    <w:rsid w:val="006F109A"/>
    <w:rsid w:val="006F13D1"/>
    <w:rsid w:val="006F1EF5"/>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AD9"/>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2D9F"/>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A52"/>
    <w:rsid w:val="00783BED"/>
    <w:rsid w:val="00783C10"/>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E01DB"/>
    <w:rsid w:val="007E050A"/>
    <w:rsid w:val="007E0910"/>
    <w:rsid w:val="007E0C0D"/>
    <w:rsid w:val="007E0E39"/>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D38"/>
    <w:rsid w:val="007E4F0D"/>
    <w:rsid w:val="007E4F1E"/>
    <w:rsid w:val="007E5132"/>
    <w:rsid w:val="007E517E"/>
    <w:rsid w:val="007E52D6"/>
    <w:rsid w:val="007E540F"/>
    <w:rsid w:val="007E5D75"/>
    <w:rsid w:val="007E6760"/>
    <w:rsid w:val="007E6990"/>
    <w:rsid w:val="007E6993"/>
    <w:rsid w:val="007E6C0E"/>
    <w:rsid w:val="007E71B3"/>
    <w:rsid w:val="007E7446"/>
    <w:rsid w:val="007E7A97"/>
    <w:rsid w:val="007F011B"/>
    <w:rsid w:val="007F04AC"/>
    <w:rsid w:val="007F0665"/>
    <w:rsid w:val="007F098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217"/>
    <w:rsid w:val="007F5A67"/>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0F1"/>
    <w:rsid w:val="00836E56"/>
    <w:rsid w:val="00836F17"/>
    <w:rsid w:val="00837084"/>
    <w:rsid w:val="0083727B"/>
    <w:rsid w:val="0084005D"/>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E4"/>
    <w:rsid w:val="008526C3"/>
    <w:rsid w:val="00852B85"/>
    <w:rsid w:val="00852FFE"/>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4E44"/>
    <w:rsid w:val="008A5368"/>
    <w:rsid w:val="008A5563"/>
    <w:rsid w:val="008A586C"/>
    <w:rsid w:val="008A5D98"/>
    <w:rsid w:val="008A5E44"/>
    <w:rsid w:val="008A5F66"/>
    <w:rsid w:val="008A7375"/>
    <w:rsid w:val="008A74FC"/>
    <w:rsid w:val="008A7ABC"/>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CC3"/>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1F9"/>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52B"/>
    <w:rsid w:val="008F1861"/>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5D1"/>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7D3"/>
    <w:rsid w:val="00983911"/>
    <w:rsid w:val="00983C5F"/>
    <w:rsid w:val="00983E6E"/>
    <w:rsid w:val="00983F89"/>
    <w:rsid w:val="009840A4"/>
    <w:rsid w:val="00984E26"/>
    <w:rsid w:val="00985695"/>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A0261"/>
    <w:rsid w:val="009A0355"/>
    <w:rsid w:val="009A099B"/>
    <w:rsid w:val="009A0A57"/>
    <w:rsid w:val="009A0B74"/>
    <w:rsid w:val="009A0F96"/>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78"/>
    <w:rsid w:val="009C118D"/>
    <w:rsid w:val="009C17AB"/>
    <w:rsid w:val="009C1882"/>
    <w:rsid w:val="009C1EDF"/>
    <w:rsid w:val="009C2510"/>
    <w:rsid w:val="009C27FA"/>
    <w:rsid w:val="009C2D0E"/>
    <w:rsid w:val="009C2E97"/>
    <w:rsid w:val="009C3434"/>
    <w:rsid w:val="009C3629"/>
    <w:rsid w:val="009C36A8"/>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9F3"/>
    <w:rsid w:val="009E4F9C"/>
    <w:rsid w:val="009E5319"/>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917"/>
    <w:rsid w:val="00A40D20"/>
    <w:rsid w:val="00A40F41"/>
    <w:rsid w:val="00A410C2"/>
    <w:rsid w:val="00A41656"/>
    <w:rsid w:val="00A41CCC"/>
    <w:rsid w:val="00A41DC8"/>
    <w:rsid w:val="00A41E8B"/>
    <w:rsid w:val="00A42D09"/>
    <w:rsid w:val="00A42E44"/>
    <w:rsid w:val="00A42EC6"/>
    <w:rsid w:val="00A42F30"/>
    <w:rsid w:val="00A436CC"/>
    <w:rsid w:val="00A43981"/>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55C"/>
    <w:rsid w:val="00A57853"/>
    <w:rsid w:val="00A57C7E"/>
    <w:rsid w:val="00A60737"/>
    <w:rsid w:val="00A6090F"/>
    <w:rsid w:val="00A6131A"/>
    <w:rsid w:val="00A616ED"/>
    <w:rsid w:val="00A6234A"/>
    <w:rsid w:val="00A623FC"/>
    <w:rsid w:val="00A62438"/>
    <w:rsid w:val="00A62C85"/>
    <w:rsid w:val="00A62FE1"/>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6BC1"/>
    <w:rsid w:val="00A87773"/>
    <w:rsid w:val="00A87D08"/>
    <w:rsid w:val="00A87D87"/>
    <w:rsid w:val="00A87DDF"/>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2FAB"/>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4206"/>
    <w:rsid w:val="00AC42BA"/>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7C5"/>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5DF"/>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5EC"/>
    <w:rsid w:val="00AE5886"/>
    <w:rsid w:val="00AE64D2"/>
    <w:rsid w:val="00AE693E"/>
    <w:rsid w:val="00AE6A86"/>
    <w:rsid w:val="00AE6E63"/>
    <w:rsid w:val="00AE6F28"/>
    <w:rsid w:val="00AE7F03"/>
    <w:rsid w:val="00AF01B9"/>
    <w:rsid w:val="00AF0DE8"/>
    <w:rsid w:val="00AF1EAF"/>
    <w:rsid w:val="00AF1FE7"/>
    <w:rsid w:val="00AF2569"/>
    <w:rsid w:val="00AF2E67"/>
    <w:rsid w:val="00AF300D"/>
    <w:rsid w:val="00AF3038"/>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C3"/>
    <w:rsid w:val="00AF5C9F"/>
    <w:rsid w:val="00AF630B"/>
    <w:rsid w:val="00AF6488"/>
    <w:rsid w:val="00AF6C46"/>
    <w:rsid w:val="00AF7168"/>
    <w:rsid w:val="00AF7232"/>
    <w:rsid w:val="00AF73B0"/>
    <w:rsid w:val="00AF73EC"/>
    <w:rsid w:val="00AF7401"/>
    <w:rsid w:val="00AF742F"/>
    <w:rsid w:val="00AF74A9"/>
    <w:rsid w:val="00AF77EA"/>
    <w:rsid w:val="00AF7899"/>
    <w:rsid w:val="00AF78D3"/>
    <w:rsid w:val="00AF78D8"/>
    <w:rsid w:val="00B00C02"/>
    <w:rsid w:val="00B00C33"/>
    <w:rsid w:val="00B0119B"/>
    <w:rsid w:val="00B01494"/>
    <w:rsid w:val="00B01D55"/>
    <w:rsid w:val="00B02808"/>
    <w:rsid w:val="00B02887"/>
    <w:rsid w:val="00B02F3E"/>
    <w:rsid w:val="00B0341D"/>
    <w:rsid w:val="00B03BEA"/>
    <w:rsid w:val="00B040ED"/>
    <w:rsid w:val="00B0417C"/>
    <w:rsid w:val="00B04534"/>
    <w:rsid w:val="00B048D3"/>
    <w:rsid w:val="00B04B99"/>
    <w:rsid w:val="00B04FEB"/>
    <w:rsid w:val="00B0510C"/>
    <w:rsid w:val="00B055AA"/>
    <w:rsid w:val="00B06280"/>
    <w:rsid w:val="00B06CC6"/>
    <w:rsid w:val="00B06D8B"/>
    <w:rsid w:val="00B07584"/>
    <w:rsid w:val="00B0787F"/>
    <w:rsid w:val="00B07C23"/>
    <w:rsid w:val="00B10011"/>
    <w:rsid w:val="00B10AF9"/>
    <w:rsid w:val="00B10E7A"/>
    <w:rsid w:val="00B11663"/>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ABA"/>
    <w:rsid w:val="00B16C00"/>
    <w:rsid w:val="00B17828"/>
    <w:rsid w:val="00B2050F"/>
    <w:rsid w:val="00B20FEB"/>
    <w:rsid w:val="00B2169D"/>
    <w:rsid w:val="00B21ED5"/>
    <w:rsid w:val="00B2200F"/>
    <w:rsid w:val="00B22174"/>
    <w:rsid w:val="00B22394"/>
    <w:rsid w:val="00B2263F"/>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74EC"/>
    <w:rsid w:val="00B57EE7"/>
    <w:rsid w:val="00B6013A"/>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71E"/>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005"/>
    <w:rsid w:val="00B82DAD"/>
    <w:rsid w:val="00B83038"/>
    <w:rsid w:val="00B831CA"/>
    <w:rsid w:val="00B83328"/>
    <w:rsid w:val="00B83919"/>
    <w:rsid w:val="00B8431C"/>
    <w:rsid w:val="00B8453F"/>
    <w:rsid w:val="00B8493B"/>
    <w:rsid w:val="00B84B2D"/>
    <w:rsid w:val="00B850D3"/>
    <w:rsid w:val="00B8548E"/>
    <w:rsid w:val="00B85D9D"/>
    <w:rsid w:val="00B85E7F"/>
    <w:rsid w:val="00B86248"/>
    <w:rsid w:val="00B862F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DEC"/>
    <w:rsid w:val="00B91EAC"/>
    <w:rsid w:val="00B92EA8"/>
    <w:rsid w:val="00B934F2"/>
    <w:rsid w:val="00B93A16"/>
    <w:rsid w:val="00B93AA9"/>
    <w:rsid w:val="00B93B9F"/>
    <w:rsid w:val="00B93C46"/>
    <w:rsid w:val="00B93D97"/>
    <w:rsid w:val="00B94F22"/>
    <w:rsid w:val="00B95277"/>
    <w:rsid w:val="00B9531E"/>
    <w:rsid w:val="00B955CF"/>
    <w:rsid w:val="00B958E2"/>
    <w:rsid w:val="00B961B9"/>
    <w:rsid w:val="00B96261"/>
    <w:rsid w:val="00B96381"/>
    <w:rsid w:val="00B964C0"/>
    <w:rsid w:val="00B96DAD"/>
    <w:rsid w:val="00B97493"/>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B81"/>
    <w:rsid w:val="00BA7C62"/>
    <w:rsid w:val="00BB0BB7"/>
    <w:rsid w:val="00BB10F2"/>
    <w:rsid w:val="00BB122C"/>
    <w:rsid w:val="00BB14BF"/>
    <w:rsid w:val="00BB2A8D"/>
    <w:rsid w:val="00BB2C09"/>
    <w:rsid w:val="00BB2D51"/>
    <w:rsid w:val="00BB3429"/>
    <w:rsid w:val="00BB356F"/>
    <w:rsid w:val="00BB3BE7"/>
    <w:rsid w:val="00BB3D3A"/>
    <w:rsid w:val="00BB3E33"/>
    <w:rsid w:val="00BB3F7A"/>
    <w:rsid w:val="00BB4014"/>
    <w:rsid w:val="00BB4227"/>
    <w:rsid w:val="00BB4879"/>
    <w:rsid w:val="00BB5143"/>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15"/>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F05"/>
    <w:rsid w:val="00CA4047"/>
    <w:rsid w:val="00CA42E1"/>
    <w:rsid w:val="00CA4377"/>
    <w:rsid w:val="00CA4620"/>
    <w:rsid w:val="00CA4B0C"/>
    <w:rsid w:val="00CA4B85"/>
    <w:rsid w:val="00CA4C1D"/>
    <w:rsid w:val="00CA543F"/>
    <w:rsid w:val="00CA5598"/>
    <w:rsid w:val="00CA56AA"/>
    <w:rsid w:val="00CA5ABC"/>
    <w:rsid w:val="00CA5FEE"/>
    <w:rsid w:val="00CA6714"/>
    <w:rsid w:val="00CA672D"/>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C2A"/>
    <w:rsid w:val="00CD208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B04"/>
    <w:rsid w:val="00D24DD2"/>
    <w:rsid w:val="00D258EC"/>
    <w:rsid w:val="00D25CAA"/>
    <w:rsid w:val="00D262C8"/>
    <w:rsid w:val="00D26CAA"/>
    <w:rsid w:val="00D271E3"/>
    <w:rsid w:val="00D276A3"/>
    <w:rsid w:val="00D27C29"/>
    <w:rsid w:val="00D27F58"/>
    <w:rsid w:val="00D301B1"/>
    <w:rsid w:val="00D30242"/>
    <w:rsid w:val="00D30921"/>
    <w:rsid w:val="00D30C6C"/>
    <w:rsid w:val="00D31694"/>
    <w:rsid w:val="00D3193B"/>
    <w:rsid w:val="00D31BE3"/>
    <w:rsid w:val="00D325D6"/>
    <w:rsid w:val="00D329C6"/>
    <w:rsid w:val="00D32DBD"/>
    <w:rsid w:val="00D32F01"/>
    <w:rsid w:val="00D3310B"/>
    <w:rsid w:val="00D335D2"/>
    <w:rsid w:val="00D33742"/>
    <w:rsid w:val="00D33A9B"/>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0BE"/>
    <w:rsid w:val="00D72227"/>
    <w:rsid w:val="00D72486"/>
    <w:rsid w:val="00D72770"/>
    <w:rsid w:val="00D72C77"/>
    <w:rsid w:val="00D72F59"/>
    <w:rsid w:val="00D732B1"/>
    <w:rsid w:val="00D7337A"/>
    <w:rsid w:val="00D73520"/>
    <w:rsid w:val="00D73616"/>
    <w:rsid w:val="00D73E18"/>
    <w:rsid w:val="00D74290"/>
    <w:rsid w:val="00D748EC"/>
    <w:rsid w:val="00D74D95"/>
    <w:rsid w:val="00D75074"/>
    <w:rsid w:val="00D75106"/>
    <w:rsid w:val="00D75495"/>
    <w:rsid w:val="00D75497"/>
    <w:rsid w:val="00D75FB0"/>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07D"/>
    <w:rsid w:val="00D871AB"/>
    <w:rsid w:val="00D8773A"/>
    <w:rsid w:val="00D90190"/>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87D"/>
    <w:rsid w:val="00DC2009"/>
    <w:rsid w:val="00DC2754"/>
    <w:rsid w:val="00DC2C3D"/>
    <w:rsid w:val="00DC2DEF"/>
    <w:rsid w:val="00DC3BA1"/>
    <w:rsid w:val="00DC3CB1"/>
    <w:rsid w:val="00DC3E06"/>
    <w:rsid w:val="00DC4395"/>
    <w:rsid w:val="00DC4742"/>
    <w:rsid w:val="00DC49D8"/>
    <w:rsid w:val="00DC4B65"/>
    <w:rsid w:val="00DC4C38"/>
    <w:rsid w:val="00DC4D81"/>
    <w:rsid w:val="00DC6030"/>
    <w:rsid w:val="00DC6B10"/>
    <w:rsid w:val="00DC703C"/>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5DA"/>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63F"/>
    <w:rsid w:val="00E15BE0"/>
    <w:rsid w:val="00E15DCC"/>
    <w:rsid w:val="00E161B3"/>
    <w:rsid w:val="00E165D1"/>
    <w:rsid w:val="00E1693C"/>
    <w:rsid w:val="00E16F47"/>
    <w:rsid w:val="00E1747E"/>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074A"/>
    <w:rsid w:val="00E81028"/>
    <w:rsid w:val="00E810DF"/>
    <w:rsid w:val="00E8110F"/>
    <w:rsid w:val="00E81575"/>
    <w:rsid w:val="00E81CE7"/>
    <w:rsid w:val="00E81D4E"/>
    <w:rsid w:val="00E82C10"/>
    <w:rsid w:val="00E83247"/>
    <w:rsid w:val="00E83701"/>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178"/>
    <w:rsid w:val="00EA743A"/>
    <w:rsid w:val="00EA75AB"/>
    <w:rsid w:val="00EA77CA"/>
    <w:rsid w:val="00EA7893"/>
    <w:rsid w:val="00EA7AA4"/>
    <w:rsid w:val="00EA7F25"/>
    <w:rsid w:val="00EB0297"/>
    <w:rsid w:val="00EB077E"/>
    <w:rsid w:val="00EB14E1"/>
    <w:rsid w:val="00EB1C9A"/>
    <w:rsid w:val="00EB21F8"/>
    <w:rsid w:val="00EB2360"/>
    <w:rsid w:val="00EB2851"/>
    <w:rsid w:val="00EB2F3C"/>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B92"/>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B64"/>
    <w:rsid w:val="00F17308"/>
    <w:rsid w:val="00F17452"/>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870"/>
    <w:rsid w:val="00F408B7"/>
    <w:rsid w:val="00F415CC"/>
    <w:rsid w:val="00F41633"/>
    <w:rsid w:val="00F42183"/>
    <w:rsid w:val="00F42374"/>
    <w:rsid w:val="00F42CE0"/>
    <w:rsid w:val="00F43593"/>
    <w:rsid w:val="00F436E7"/>
    <w:rsid w:val="00F43A12"/>
    <w:rsid w:val="00F43EFA"/>
    <w:rsid w:val="00F4425D"/>
    <w:rsid w:val="00F445C9"/>
    <w:rsid w:val="00F4508F"/>
    <w:rsid w:val="00F45236"/>
    <w:rsid w:val="00F4528D"/>
    <w:rsid w:val="00F463FE"/>
    <w:rsid w:val="00F46AC3"/>
    <w:rsid w:val="00F46E4F"/>
    <w:rsid w:val="00F47371"/>
    <w:rsid w:val="00F50091"/>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60C"/>
    <w:rsid w:val="00F5473E"/>
    <w:rsid w:val="00F54964"/>
    <w:rsid w:val="00F54DF7"/>
    <w:rsid w:val="00F55008"/>
    <w:rsid w:val="00F55397"/>
    <w:rsid w:val="00F556AD"/>
    <w:rsid w:val="00F557CB"/>
    <w:rsid w:val="00F558C2"/>
    <w:rsid w:val="00F55A1F"/>
    <w:rsid w:val="00F56043"/>
    <w:rsid w:val="00F560E1"/>
    <w:rsid w:val="00F56304"/>
    <w:rsid w:val="00F56534"/>
    <w:rsid w:val="00F566A5"/>
    <w:rsid w:val="00F56B1D"/>
    <w:rsid w:val="00F57BA6"/>
    <w:rsid w:val="00F57F23"/>
    <w:rsid w:val="00F6075A"/>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3FF"/>
    <w:rsid w:val="00F674B9"/>
    <w:rsid w:val="00F678B7"/>
    <w:rsid w:val="00F67FDF"/>
    <w:rsid w:val="00F70487"/>
    <w:rsid w:val="00F71192"/>
    <w:rsid w:val="00F71774"/>
    <w:rsid w:val="00F71785"/>
    <w:rsid w:val="00F7209A"/>
    <w:rsid w:val="00F721D9"/>
    <w:rsid w:val="00F72492"/>
    <w:rsid w:val="00F72C59"/>
    <w:rsid w:val="00F72FD4"/>
    <w:rsid w:val="00F7349F"/>
    <w:rsid w:val="00F73A1B"/>
    <w:rsid w:val="00F749F1"/>
    <w:rsid w:val="00F74D93"/>
    <w:rsid w:val="00F75421"/>
    <w:rsid w:val="00F75EDD"/>
    <w:rsid w:val="00F7625A"/>
    <w:rsid w:val="00F76396"/>
    <w:rsid w:val="00F766A7"/>
    <w:rsid w:val="00F76B81"/>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825"/>
    <w:rsid w:val="00FE2D8B"/>
    <w:rsid w:val="00FE2E11"/>
    <w:rsid w:val="00FE33A4"/>
    <w:rsid w:val="00FE375C"/>
    <w:rsid w:val="00FE3B25"/>
    <w:rsid w:val="00FE4C4E"/>
    <w:rsid w:val="00FE50A9"/>
    <w:rsid w:val="00FE5BA2"/>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5E8"/>
    <w:rsid w:val="00FF7656"/>
    <w:rsid w:val="00FF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mirjana.bandur@rzs.rs.ba"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tesic@rzs.rs.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marker>
            <c:symbol val="none"/>
          </c:marker>
          <c:cat>
            <c:multiLvlStrRef>
              <c:f>'graf 2'!$A$1:$B$13</c:f>
              <c:multiLvlStrCache>
                <c:ptCount val="13"/>
                <c:lvl>
                  <c:pt idx="0">
                    <c:v>VII</c:v>
                  </c:pt>
                  <c:pt idx="1">
                    <c:v>VIII</c:v>
                  </c:pt>
                  <c:pt idx="2">
                    <c:v>IX</c:v>
                  </c:pt>
                  <c:pt idx="3">
                    <c:v>X</c:v>
                  </c:pt>
                  <c:pt idx="4">
                    <c:v>XI</c:v>
                  </c:pt>
                  <c:pt idx="5">
                    <c:v>XII</c:v>
                  </c:pt>
                  <c:pt idx="6">
                    <c:v>I</c:v>
                  </c:pt>
                  <c:pt idx="7">
                    <c:v>II</c:v>
                  </c:pt>
                  <c:pt idx="8">
                    <c:v>III</c:v>
                  </c:pt>
                  <c:pt idx="9">
                    <c:v>IV</c:v>
                  </c:pt>
                  <c:pt idx="10">
                    <c:v>V</c:v>
                  </c:pt>
                  <c:pt idx="11">
                    <c:v>VI</c:v>
                  </c:pt>
                  <c:pt idx="12">
                    <c:v>VII</c:v>
                  </c:pt>
                </c:lvl>
                <c:lvl>
                  <c:pt idx="0">
                    <c:v>2014</c:v>
                  </c:pt>
                  <c:pt idx="6">
                    <c:v>2015</c:v>
                  </c:pt>
                </c:lvl>
              </c:multiLvlStrCache>
            </c:multiLvlStrRef>
          </c:cat>
          <c:val>
            <c:numRef>
              <c:f>'graf 2'!$C$1:$C$13</c:f>
              <c:numCache>
                <c:formatCode>0</c:formatCode>
                <c:ptCount val="13"/>
                <c:pt idx="0">
                  <c:v>830</c:v>
                </c:pt>
                <c:pt idx="1">
                  <c:v>825</c:v>
                </c:pt>
                <c:pt idx="2">
                  <c:v>831</c:v>
                </c:pt>
                <c:pt idx="3">
                  <c:v>826</c:v>
                </c:pt>
                <c:pt idx="4">
                  <c:v>827</c:v>
                </c:pt>
                <c:pt idx="5">
                  <c:v>836</c:v>
                </c:pt>
                <c:pt idx="6">
                  <c:v>812</c:v>
                </c:pt>
                <c:pt idx="7">
                  <c:v>834</c:v>
                </c:pt>
                <c:pt idx="8">
                  <c:v>831</c:v>
                </c:pt>
                <c:pt idx="9">
                  <c:v>835</c:v>
                </c:pt>
                <c:pt idx="10">
                  <c:v>832</c:v>
                </c:pt>
                <c:pt idx="11">
                  <c:v>843</c:v>
                </c:pt>
                <c:pt idx="12">
                  <c:v>834</c:v>
                </c:pt>
              </c:numCache>
            </c:numRef>
          </c:val>
        </c:ser>
        <c:dLbls/>
        <c:marker val="1"/>
        <c:axId val="76184192"/>
        <c:axId val="76198272"/>
      </c:lineChart>
      <c:catAx>
        <c:axId val="76184192"/>
        <c:scaling>
          <c:orientation val="minMax"/>
        </c:scaling>
        <c:axPos val="b"/>
        <c:minorGridlines/>
        <c:numFmt formatCode="General" sourceLinked="0"/>
        <c:tickLblPos val="nextTo"/>
        <c:txPr>
          <a:bodyPr/>
          <a:lstStyle/>
          <a:p>
            <a:pPr>
              <a:defRPr sz="800">
                <a:latin typeface="Arial Narrow" panose="020B0606020202030204" pitchFamily="34" charset="0"/>
              </a:defRPr>
            </a:pPr>
            <a:endParaRPr lang="en-US"/>
          </a:p>
        </c:txPr>
        <c:crossAx val="76198272"/>
        <c:crosses val="autoZero"/>
        <c:auto val="1"/>
        <c:lblAlgn val="ctr"/>
        <c:lblOffset val="100"/>
      </c:catAx>
      <c:valAx>
        <c:axId val="76198272"/>
        <c:scaling>
          <c:orientation val="minMax"/>
          <c:max val="900"/>
          <c:min val="600"/>
        </c:scaling>
        <c:axPos val="l"/>
        <c:majorGridlines/>
        <c:numFmt formatCode="0" sourceLinked="1"/>
        <c:tickLblPos val="nextTo"/>
        <c:txPr>
          <a:bodyPr/>
          <a:lstStyle/>
          <a:p>
            <a:pPr>
              <a:defRPr sz="800">
                <a:latin typeface="Arial Narrow" panose="020B0606020202030204" pitchFamily="34" charset="0"/>
              </a:defRPr>
            </a:pPr>
            <a:endParaRPr lang="en-US"/>
          </a:p>
        </c:txPr>
        <c:crossAx val="76184192"/>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VII</c:v>
                  </c:pt>
                  <c:pt idx="1">
                    <c:v>VIII</c:v>
                  </c:pt>
                  <c:pt idx="2">
                    <c:v>IX</c:v>
                  </c:pt>
                  <c:pt idx="3">
                    <c:v>X</c:v>
                  </c:pt>
                  <c:pt idx="4">
                    <c:v>XI</c:v>
                  </c:pt>
                  <c:pt idx="5">
                    <c:v>XII</c:v>
                  </c:pt>
                  <c:pt idx="6">
                    <c:v>I</c:v>
                  </c:pt>
                  <c:pt idx="7">
                    <c:v>II</c:v>
                  </c:pt>
                  <c:pt idx="8">
                    <c:v>III</c:v>
                  </c:pt>
                  <c:pt idx="9">
                    <c:v>IV</c:v>
                  </c:pt>
                  <c:pt idx="10">
                    <c:v>V</c:v>
                  </c:pt>
                  <c:pt idx="11">
                    <c:v>VI</c:v>
                  </c:pt>
                  <c:pt idx="12">
                    <c:v>VII</c:v>
                  </c:pt>
                  <c:pt idx="13">
                    <c:v>VIII</c:v>
                  </c:pt>
                  <c:pt idx="14">
                    <c:v>IX</c:v>
                  </c:pt>
                  <c:pt idx="15">
                    <c:v>X</c:v>
                  </c:pt>
                  <c:pt idx="16">
                    <c:v>XI</c:v>
                  </c:pt>
                  <c:pt idx="17">
                    <c:v>XII</c:v>
                  </c:pt>
                  <c:pt idx="18">
                    <c:v>I</c:v>
                  </c:pt>
                  <c:pt idx="19">
                    <c:v>II</c:v>
                  </c:pt>
                  <c:pt idx="20">
                    <c:v>III</c:v>
                  </c:pt>
                  <c:pt idx="21">
                    <c:v>IV</c:v>
                  </c:pt>
                  <c:pt idx="22">
                    <c:v>V</c:v>
                  </c:pt>
                  <c:pt idx="23">
                    <c:v>VI</c:v>
                  </c:pt>
                  <c:pt idx="24">
                    <c:v>VII</c:v>
                  </c:pt>
                  <c:pt idx="25">
                    <c:v>VIII</c:v>
                  </c:pt>
                  <c:pt idx="26">
                    <c:v>IX</c:v>
                  </c:pt>
                  <c:pt idx="27">
                    <c:v>X</c:v>
                  </c:pt>
                  <c:pt idx="28">
                    <c:v>XI</c:v>
                  </c:pt>
                  <c:pt idx="29">
                    <c:v>XII</c:v>
                  </c:pt>
                  <c:pt idx="30">
                    <c:v>I</c:v>
                  </c:pt>
                  <c:pt idx="31">
                    <c:v>II</c:v>
                  </c:pt>
                  <c:pt idx="32">
                    <c:v>III</c:v>
                  </c:pt>
                  <c:pt idx="33">
                    <c:v>IV</c:v>
                  </c:pt>
                  <c:pt idx="34">
                    <c:v>V</c:v>
                  </c:pt>
                  <c:pt idx="35">
                    <c:v>VI</c:v>
                  </c:pt>
                  <c:pt idx="36">
                    <c:v>VII</c:v>
                  </c:pt>
                  <c:pt idx="37">
                    <c:v>VIII</c:v>
                  </c:pt>
                  <c:pt idx="38">
                    <c:v>IX</c:v>
                  </c:pt>
                  <c:pt idx="39">
                    <c:v>X</c:v>
                  </c:pt>
                  <c:pt idx="40">
                    <c:v>XI</c:v>
                  </c:pt>
                  <c:pt idx="41">
                    <c:v>XII</c:v>
                  </c:pt>
                  <c:pt idx="42">
                    <c:v>I</c:v>
                  </c:pt>
                  <c:pt idx="43">
                    <c:v>II</c:v>
                  </c:pt>
                  <c:pt idx="44">
                    <c:v>III</c:v>
                  </c:pt>
                  <c:pt idx="45">
                    <c:v>IV</c:v>
                  </c:pt>
                  <c:pt idx="46">
                    <c:v>V</c:v>
                  </c:pt>
                  <c:pt idx="47">
                    <c:v>VI</c:v>
                  </c:pt>
                  <c:pt idx="48">
                    <c:v>VII</c:v>
                  </c:pt>
                </c:lvl>
                <c:lvl>
                  <c:pt idx="0">
                    <c:v>2011</c:v>
                  </c:pt>
                  <c:pt idx="6">
                    <c:v>2012</c:v>
                  </c:pt>
                  <c:pt idx="18">
                    <c:v>2013</c:v>
                  </c:pt>
                  <c:pt idx="30">
                    <c:v>2014</c:v>
                  </c:pt>
                  <c:pt idx="42">
                    <c:v>2015</c:v>
                  </c:pt>
                </c:lvl>
              </c:multiLvlStrCache>
            </c:multiLvlStrRef>
          </c:cat>
          <c:val>
            <c:numRef>
              <c:f>Sheet2!$C$3:$C$50</c:f>
              <c:numCache>
                <c:formatCode>General</c:formatCode>
                <c:ptCount val="48"/>
                <c:pt idx="0">
                  <c:v>108.05761344038861</c:v>
                </c:pt>
                <c:pt idx="1">
                  <c:v>99.012152867081824</c:v>
                </c:pt>
                <c:pt idx="2">
                  <c:v>104.45379803797591</c:v>
                </c:pt>
                <c:pt idx="3">
                  <c:v>103.44170233524726</c:v>
                </c:pt>
                <c:pt idx="4">
                  <c:v>100.27108540078439</c:v>
                </c:pt>
                <c:pt idx="5">
                  <c:v>102.53422482123435</c:v>
                </c:pt>
                <c:pt idx="6">
                  <c:v>97.476417954706051</c:v>
                </c:pt>
                <c:pt idx="7">
                  <c:v>101.28176144218567</c:v>
                </c:pt>
                <c:pt idx="8">
                  <c:v>101.67685079521011</c:v>
                </c:pt>
                <c:pt idx="9">
                  <c:v>99.435712426370813</c:v>
                </c:pt>
                <c:pt idx="10">
                  <c:v>99.753623202198796</c:v>
                </c:pt>
                <c:pt idx="11">
                  <c:v>93.559577483711152</c:v>
                </c:pt>
                <c:pt idx="12">
                  <c:v>99.955276188787579</c:v>
                </c:pt>
                <c:pt idx="13">
                  <c:v>105.81911779842358</c:v>
                </c:pt>
                <c:pt idx="14">
                  <c:v>100.49904862977347</c:v>
                </c:pt>
                <c:pt idx="15">
                  <c:v>98.991365518567633</c:v>
                </c:pt>
                <c:pt idx="16">
                  <c:v>102.00722123421406</c:v>
                </c:pt>
                <c:pt idx="17">
                  <c:v>101.23901812498941</c:v>
                </c:pt>
                <c:pt idx="18">
                  <c:v>100.43747961809972</c:v>
                </c:pt>
                <c:pt idx="19">
                  <c:v>100.71945787427931</c:v>
                </c:pt>
                <c:pt idx="20">
                  <c:v>109.37563126706934</c:v>
                </c:pt>
                <c:pt idx="21">
                  <c:v>103.00941338992718</c:v>
                </c:pt>
                <c:pt idx="22">
                  <c:v>105.16181226895924</c:v>
                </c:pt>
                <c:pt idx="23">
                  <c:v>110.48578690128929</c:v>
                </c:pt>
                <c:pt idx="24">
                  <c:v>107.32776897598785</c:v>
                </c:pt>
                <c:pt idx="25">
                  <c:v>100.26559720870965</c:v>
                </c:pt>
                <c:pt idx="26">
                  <c:v>101.67265660651925</c:v>
                </c:pt>
                <c:pt idx="27">
                  <c:v>104.63505249287383</c:v>
                </c:pt>
                <c:pt idx="28">
                  <c:v>105.64244777776956</c:v>
                </c:pt>
                <c:pt idx="29">
                  <c:v>105.31737805393215</c:v>
                </c:pt>
                <c:pt idx="30">
                  <c:v>105.37536823970846</c:v>
                </c:pt>
                <c:pt idx="31">
                  <c:v>103.12774715216227</c:v>
                </c:pt>
                <c:pt idx="32">
                  <c:v>103.40304096055236</c:v>
                </c:pt>
                <c:pt idx="33">
                  <c:v>103.04852827483559</c:v>
                </c:pt>
                <c:pt idx="34">
                  <c:v>104.41757915464456</c:v>
                </c:pt>
                <c:pt idx="35">
                  <c:v>106.22560695996012</c:v>
                </c:pt>
                <c:pt idx="36">
                  <c:v>100.84989637766128</c:v>
                </c:pt>
                <c:pt idx="37">
                  <c:v>108.48108479202145</c:v>
                </c:pt>
                <c:pt idx="38">
                  <c:v>107.57216667139339</c:v>
                </c:pt>
                <c:pt idx="39">
                  <c:v>106.6876784752404</c:v>
                </c:pt>
                <c:pt idx="40">
                  <c:v>104.7283125907714</c:v>
                </c:pt>
                <c:pt idx="41">
                  <c:v>106.06005979438632</c:v>
                </c:pt>
                <c:pt idx="42">
                  <c:v>111.17586535322606</c:v>
                </c:pt>
                <c:pt idx="43">
                  <c:v>107.16448470962645</c:v>
                </c:pt>
                <c:pt idx="44">
                  <c:v>106.4329922031193</c:v>
                </c:pt>
                <c:pt idx="45">
                  <c:v>110.69283093270674</c:v>
                </c:pt>
                <c:pt idx="46">
                  <c:v>109.38388683870377</c:v>
                </c:pt>
                <c:pt idx="47">
                  <c:v>108.19269927130557</c:v>
                </c:pt>
              </c:numCache>
            </c:numRef>
          </c:val>
        </c:ser>
        <c:ser>
          <c:idx val="1"/>
          <c:order val="1"/>
          <c:tx>
            <c:strRef>
              <c:f>Sheet2!$D$1</c:f>
              <c:strCache>
                <c:ptCount val="1"/>
                <c:pt idx="0">
                  <c:v>Тренд индекси/
Trend indices</c:v>
                </c:pt>
              </c:strCache>
            </c:strRef>
          </c:tx>
          <c:marker>
            <c:symbol val="none"/>
          </c:marker>
          <c:cat>
            <c:multiLvlStrRef>
              <c:f>Sheet2!$A$2:$B$50</c:f>
              <c:multiLvlStrCache>
                <c:ptCount val="49"/>
                <c:lvl>
                  <c:pt idx="0">
                    <c:v>VII</c:v>
                  </c:pt>
                  <c:pt idx="1">
                    <c:v>VIII</c:v>
                  </c:pt>
                  <c:pt idx="2">
                    <c:v>IX</c:v>
                  </c:pt>
                  <c:pt idx="3">
                    <c:v>X</c:v>
                  </c:pt>
                  <c:pt idx="4">
                    <c:v>XI</c:v>
                  </c:pt>
                  <c:pt idx="5">
                    <c:v>XII</c:v>
                  </c:pt>
                  <c:pt idx="6">
                    <c:v>I</c:v>
                  </c:pt>
                  <c:pt idx="7">
                    <c:v>II</c:v>
                  </c:pt>
                  <c:pt idx="8">
                    <c:v>III</c:v>
                  </c:pt>
                  <c:pt idx="9">
                    <c:v>IV</c:v>
                  </c:pt>
                  <c:pt idx="10">
                    <c:v>V</c:v>
                  </c:pt>
                  <c:pt idx="11">
                    <c:v>VI</c:v>
                  </c:pt>
                  <c:pt idx="12">
                    <c:v>VII</c:v>
                  </c:pt>
                  <c:pt idx="13">
                    <c:v>VIII</c:v>
                  </c:pt>
                  <c:pt idx="14">
                    <c:v>IX</c:v>
                  </c:pt>
                  <c:pt idx="15">
                    <c:v>X</c:v>
                  </c:pt>
                  <c:pt idx="16">
                    <c:v>XI</c:v>
                  </c:pt>
                  <c:pt idx="17">
                    <c:v>XII</c:v>
                  </c:pt>
                  <c:pt idx="18">
                    <c:v>I</c:v>
                  </c:pt>
                  <c:pt idx="19">
                    <c:v>II</c:v>
                  </c:pt>
                  <c:pt idx="20">
                    <c:v>III</c:v>
                  </c:pt>
                  <c:pt idx="21">
                    <c:v>IV</c:v>
                  </c:pt>
                  <c:pt idx="22">
                    <c:v>V</c:v>
                  </c:pt>
                  <c:pt idx="23">
                    <c:v>VI</c:v>
                  </c:pt>
                  <c:pt idx="24">
                    <c:v>VII</c:v>
                  </c:pt>
                  <c:pt idx="25">
                    <c:v>VIII</c:v>
                  </c:pt>
                  <c:pt idx="26">
                    <c:v>IX</c:v>
                  </c:pt>
                  <c:pt idx="27">
                    <c:v>X</c:v>
                  </c:pt>
                  <c:pt idx="28">
                    <c:v>XI</c:v>
                  </c:pt>
                  <c:pt idx="29">
                    <c:v>XII</c:v>
                  </c:pt>
                  <c:pt idx="30">
                    <c:v>I</c:v>
                  </c:pt>
                  <c:pt idx="31">
                    <c:v>II</c:v>
                  </c:pt>
                  <c:pt idx="32">
                    <c:v>III</c:v>
                  </c:pt>
                  <c:pt idx="33">
                    <c:v>IV</c:v>
                  </c:pt>
                  <c:pt idx="34">
                    <c:v>V</c:v>
                  </c:pt>
                  <c:pt idx="35">
                    <c:v>VI</c:v>
                  </c:pt>
                  <c:pt idx="36">
                    <c:v>VII</c:v>
                  </c:pt>
                  <c:pt idx="37">
                    <c:v>VIII</c:v>
                  </c:pt>
                  <c:pt idx="38">
                    <c:v>IX</c:v>
                  </c:pt>
                  <c:pt idx="39">
                    <c:v>X</c:v>
                  </c:pt>
                  <c:pt idx="40">
                    <c:v>XI</c:v>
                  </c:pt>
                  <c:pt idx="41">
                    <c:v>XII</c:v>
                  </c:pt>
                  <c:pt idx="42">
                    <c:v>I</c:v>
                  </c:pt>
                  <c:pt idx="43">
                    <c:v>II</c:v>
                  </c:pt>
                  <c:pt idx="44">
                    <c:v>III</c:v>
                  </c:pt>
                  <c:pt idx="45">
                    <c:v>IV</c:v>
                  </c:pt>
                  <c:pt idx="46">
                    <c:v>V</c:v>
                  </c:pt>
                  <c:pt idx="47">
                    <c:v>VI</c:v>
                  </c:pt>
                  <c:pt idx="48">
                    <c:v>VII</c:v>
                  </c:pt>
                </c:lvl>
                <c:lvl>
                  <c:pt idx="0">
                    <c:v>2011</c:v>
                  </c:pt>
                  <c:pt idx="6">
                    <c:v>2012</c:v>
                  </c:pt>
                  <c:pt idx="18">
                    <c:v>2013</c:v>
                  </c:pt>
                  <c:pt idx="30">
                    <c:v>2014</c:v>
                  </c:pt>
                  <c:pt idx="42">
                    <c:v>2015</c:v>
                  </c:pt>
                </c:lvl>
              </c:multiLvlStrCache>
            </c:multiLvlStrRef>
          </c:cat>
          <c:val>
            <c:numRef>
              <c:f>Sheet2!$D$2:$D$50</c:f>
              <c:numCache>
                <c:formatCode>General</c:formatCode>
                <c:ptCount val="49"/>
                <c:pt idx="0">
                  <c:v>103.09332009481258</c:v>
                </c:pt>
                <c:pt idx="1">
                  <c:v>102.95639591218404</c:v>
                </c:pt>
                <c:pt idx="2">
                  <c:v>102.66916985312685</c:v>
                </c:pt>
                <c:pt idx="3">
                  <c:v>102.44999143397639</c:v>
                </c:pt>
                <c:pt idx="4">
                  <c:v>102.19485261895611</c:v>
                </c:pt>
                <c:pt idx="5">
                  <c:v>101.89755591050852</c:v>
                </c:pt>
                <c:pt idx="6">
                  <c:v>101.62723331843252</c:v>
                </c:pt>
                <c:pt idx="7">
                  <c:v>101.37446898089884</c:v>
                </c:pt>
                <c:pt idx="8">
                  <c:v>101.21928798362727</c:v>
                </c:pt>
                <c:pt idx="9">
                  <c:v>101.08880574625555</c:v>
                </c:pt>
                <c:pt idx="10">
                  <c:v>100.9483579448022</c:v>
                </c:pt>
                <c:pt idx="11">
                  <c:v>100.84172015274824</c:v>
                </c:pt>
                <c:pt idx="12">
                  <c:v>100.82693542025588</c:v>
                </c:pt>
                <c:pt idx="13">
                  <c:v>101.03771741948275</c:v>
                </c:pt>
                <c:pt idx="14">
                  <c:v>101.30539359049769</c:v>
                </c:pt>
                <c:pt idx="15">
                  <c:v>101.44812622491671</c:v>
                </c:pt>
                <c:pt idx="16">
                  <c:v>101.61523932883337</c:v>
                </c:pt>
                <c:pt idx="17">
                  <c:v>101.87130470887516</c:v>
                </c:pt>
                <c:pt idx="18">
                  <c:v>102.14850370642235</c:v>
                </c:pt>
                <c:pt idx="19">
                  <c:v>102.44942454044786</c:v>
                </c:pt>
                <c:pt idx="20">
                  <c:v>102.85295676927629</c:v>
                </c:pt>
                <c:pt idx="21">
                  <c:v>103.28358938589152</c:v>
                </c:pt>
                <c:pt idx="22">
                  <c:v>103.58047648427329</c:v>
                </c:pt>
                <c:pt idx="23">
                  <c:v>103.85036414847093</c:v>
                </c:pt>
                <c:pt idx="24">
                  <c:v>104.08202054601809</c:v>
                </c:pt>
                <c:pt idx="25">
                  <c:v>104.10356458437268</c:v>
                </c:pt>
                <c:pt idx="26">
                  <c:v>104.02968825752129</c:v>
                </c:pt>
                <c:pt idx="27">
                  <c:v>104.06912310028683</c:v>
                </c:pt>
                <c:pt idx="28">
                  <c:v>104.20862669311371</c:v>
                </c:pt>
                <c:pt idx="29">
                  <c:v>104.33862742560636</c:v>
                </c:pt>
                <c:pt idx="30">
                  <c:v>104.43303895152528</c:v>
                </c:pt>
                <c:pt idx="31">
                  <c:v>104.49312188361662</c:v>
                </c:pt>
                <c:pt idx="32">
                  <c:v>104.54158120561782</c:v>
                </c:pt>
                <c:pt idx="33">
                  <c:v>104.63504095209696</c:v>
                </c:pt>
                <c:pt idx="34">
                  <c:v>104.78806642347003</c:v>
                </c:pt>
                <c:pt idx="35">
                  <c:v>105.01334870801058</c:v>
                </c:pt>
                <c:pt idx="36">
                  <c:v>105.24929070992569</c:v>
                </c:pt>
                <c:pt idx="37">
                  <c:v>105.51112459215642</c:v>
                </c:pt>
                <c:pt idx="38">
                  <c:v>105.88208913276537</c:v>
                </c:pt>
                <c:pt idx="39">
                  <c:v>106.22723241587722</c:v>
                </c:pt>
                <c:pt idx="40">
                  <c:v>106.50673454600285</c:v>
                </c:pt>
                <c:pt idx="41">
                  <c:v>106.80334333287163</c:v>
                </c:pt>
                <c:pt idx="42">
                  <c:v>107.17923652396237</c:v>
                </c:pt>
                <c:pt idx="43">
                  <c:v>107.58569933675511</c:v>
                </c:pt>
                <c:pt idx="44">
                  <c:v>107.90978137145953</c:v>
                </c:pt>
                <c:pt idx="45">
                  <c:v>108.25450536288973</c:v>
                </c:pt>
                <c:pt idx="46">
                  <c:v>108.66088137781087</c:v>
                </c:pt>
                <c:pt idx="47">
                  <c:v>109.02626633599478</c:v>
                </c:pt>
                <c:pt idx="48">
                  <c:v>109.38211030108639</c:v>
                </c:pt>
              </c:numCache>
            </c:numRef>
          </c:val>
        </c:ser>
        <c:dLbls/>
        <c:marker val="1"/>
        <c:axId val="76280960"/>
        <c:axId val="76282496"/>
      </c:lineChart>
      <c:catAx>
        <c:axId val="76280960"/>
        <c:scaling>
          <c:orientation val="minMax"/>
        </c:scaling>
        <c:axPos val="b"/>
        <c:majorGridlines>
          <c:spPr>
            <a:ln w="6350">
              <a:solidFill>
                <a:schemeClr val="bg1">
                  <a:lumMod val="65000"/>
                </a:schemeClr>
              </a:solidFill>
            </a:ln>
          </c:spPr>
        </c:majorGridlines>
        <c:numFmt formatCode="General" sourceLinked="0"/>
        <c:tickLblPos val="nextTo"/>
        <c:spPr>
          <a:ln w="6350">
            <a:solidFill>
              <a:schemeClr val="bg1">
                <a:lumMod val="50000"/>
              </a:schemeClr>
            </a:solidFill>
          </a:ln>
        </c:spPr>
        <c:txPr>
          <a:bodyPr/>
          <a:lstStyle/>
          <a:p>
            <a:pPr>
              <a:defRPr sz="700">
                <a:latin typeface="Arial Narrow" panose="020B0606020202030204" pitchFamily="34" charset="0"/>
                <a:ea typeface="Tahoma" pitchFamily="34" charset="0"/>
                <a:cs typeface="Tahoma" pitchFamily="34" charset="0"/>
              </a:defRPr>
            </a:pPr>
            <a:endParaRPr lang="en-US"/>
          </a:p>
        </c:txPr>
        <c:crossAx val="76282496"/>
        <c:crosses val="autoZero"/>
        <c:auto val="1"/>
        <c:lblAlgn val="ctr"/>
        <c:lblOffset val="100"/>
      </c:catAx>
      <c:valAx>
        <c:axId val="76282496"/>
        <c:scaling>
          <c:orientation val="minMax"/>
          <c:max val="115"/>
          <c:min val="80"/>
        </c:scaling>
        <c:axPos val="l"/>
        <c:majorGridlines>
          <c:spPr>
            <a:ln w="6350">
              <a:solidFill>
                <a:schemeClr val="bg1">
                  <a:lumMod val="65000"/>
                </a:schemeClr>
              </a:solidFill>
            </a:ln>
          </c:spPr>
        </c:majorGridlines>
        <c:numFmt formatCode="General" sourceLinked="1"/>
        <c:tickLblPos val="nextTo"/>
        <c:spPr>
          <a:ln w="6350">
            <a:solidFill>
              <a:schemeClr val="bg1">
                <a:lumMod val="50000"/>
              </a:schemeClr>
            </a:solidFill>
          </a:ln>
        </c:spPr>
        <c:txPr>
          <a:bodyPr/>
          <a:lstStyle/>
          <a:p>
            <a:pPr>
              <a:defRPr sz="700">
                <a:latin typeface="Arial Narrow" panose="020B0606020202030204" pitchFamily="34" charset="0"/>
                <a:ea typeface="Tahoma" pitchFamily="34" charset="0"/>
                <a:cs typeface="Tahoma" pitchFamily="34" charset="0"/>
              </a:defRPr>
            </a:pPr>
            <a:endParaRPr lang="en-US"/>
          </a:p>
        </c:txPr>
        <c:crossAx val="76280960"/>
        <c:crosses val="autoZero"/>
        <c:crossBetween val="between"/>
        <c:majorUnit val="5"/>
      </c:valAx>
      <c:spPr>
        <a:noFill/>
        <a:ln w="6350">
          <a:solidFill>
            <a:schemeClr val="bg1">
              <a:lumMod val="65000"/>
            </a:schemeClr>
          </a:solidFill>
        </a:ln>
      </c:spPr>
    </c:plotArea>
    <c:legend>
      <c:legendPos val="b"/>
      <c:layout/>
      <c:txPr>
        <a:bodyPr/>
        <a:lstStyle/>
        <a:p>
          <a:pPr>
            <a:defRPr sz="700">
              <a:latin typeface="Arial Narrow" panose="020B0606020202030204" pitchFamily="34" charset="0"/>
              <a:ea typeface="Tahoma" pitchFamily="34" charset="0"/>
              <a:cs typeface="Tahoma" pitchFamily="34"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63329107564595566"/>
          <c:h val="0.8326195683872849"/>
        </c:manualLayout>
      </c:layout>
      <c:lineChart>
        <c:grouping val="standard"/>
        <c:ser>
          <c:idx val="0"/>
          <c:order val="0"/>
          <c:tx>
            <c:strRef>
              <c:f>zaJul2015!$A$2</c:f>
              <c:strCache>
                <c:ptCount val="1"/>
                <c:pt idx="0">
                  <c:v>увоз                   </c:v>
                </c:pt>
              </c:strCache>
            </c:strRef>
          </c:tx>
          <c:marker>
            <c:symbol val="none"/>
          </c:marker>
          <c:cat>
            <c:strRef>
              <c:f>zaJul2015!$B$1:$N$1</c:f>
              <c:strCache>
                <c:ptCount val="13"/>
                <c:pt idx="0">
                  <c:v>VII</c:v>
                </c:pt>
                <c:pt idx="1">
                  <c:v>VIII</c:v>
                </c:pt>
                <c:pt idx="2">
                  <c:v>IX</c:v>
                </c:pt>
                <c:pt idx="3">
                  <c:v>X</c:v>
                </c:pt>
                <c:pt idx="4">
                  <c:v>XI</c:v>
                </c:pt>
                <c:pt idx="5">
                  <c:v>XII</c:v>
                </c:pt>
                <c:pt idx="6">
                  <c:v>I</c:v>
                </c:pt>
                <c:pt idx="7">
                  <c:v>II</c:v>
                </c:pt>
                <c:pt idx="8">
                  <c:v>III</c:v>
                </c:pt>
                <c:pt idx="9">
                  <c:v>IV</c:v>
                </c:pt>
                <c:pt idx="10">
                  <c:v>V</c:v>
                </c:pt>
                <c:pt idx="11">
                  <c:v>VI</c:v>
                </c:pt>
                <c:pt idx="12">
                  <c:v>VII</c:v>
                </c:pt>
              </c:strCache>
            </c:strRef>
          </c:cat>
          <c:val>
            <c:numRef>
              <c:f>zaJul2015!$B$2:$N$2</c:f>
              <c:numCache>
                <c:formatCode>General</c:formatCode>
                <c:ptCount val="13"/>
                <c:pt idx="0">
                  <c:v>412801</c:v>
                </c:pt>
                <c:pt idx="1">
                  <c:v>444841</c:v>
                </c:pt>
                <c:pt idx="2">
                  <c:v>421218</c:v>
                </c:pt>
                <c:pt idx="3">
                  <c:v>508654</c:v>
                </c:pt>
                <c:pt idx="4">
                  <c:v>432236</c:v>
                </c:pt>
                <c:pt idx="5">
                  <c:v>434262</c:v>
                </c:pt>
                <c:pt idx="6">
                  <c:v>223487</c:v>
                </c:pt>
                <c:pt idx="7">
                  <c:v>345476</c:v>
                </c:pt>
                <c:pt idx="8">
                  <c:v>403130</c:v>
                </c:pt>
                <c:pt idx="9">
                  <c:v>354876</c:v>
                </c:pt>
                <c:pt idx="10">
                  <c:v>392249</c:v>
                </c:pt>
                <c:pt idx="11">
                  <c:v>372531</c:v>
                </c:pt>
                <c:pt idx="12">
                  <c:v>441291</c:v>
                </c:pt>
              </c:numCache>
            </c:numRef>
          </c:val>
        </c:ser>
        <c:ser>
          <c:idx val="1"/>
          <c:order val="1"/>
          <c:tx>
            <c:strRef>
              <c:f>zaJul2015!$A$3</c:f>
              <c:strCache>
                <c:ptCount val="1"/>
                <c:pt idx="0">
                  <c:v>извоз</c:v>
                </c:pt>
              </c:strCache>
            </c:strRef>
          </c:tx>
          <c:marker>
            <c:symbol val="none"/>
          </c:marker>
          <c:cat>
            <c:strRef>
              <c:f>zaJul2015!$B$1:$N$1</c:f>
              <c:strCache>
                <c:ptCount val="13"/>
                <c:pt idx="0">
                  <c:v>VII</c:v>
                </c:pt>
                <c:pt idx="1">
                  <c:v>VIII</c:v>
                </c:pt>
                <c:pt idx="2">
                  <c:v>IX</c:v>
                </c:pt>
                <c:pt idx="3">
                  <c:v>X</c:v>
                </c:pt>
                <c:pt idx="4">
                  <c:v>XI</c:v>
                </c:pt>
                <c:pt idx="5">
                  <c:v>XII</c:v>
                </c:pt>
                <c:pt idx="6">
                  <c:v>I</c:v>
                </c:pt>
                <c:pt idx="7">
                  <c:v>II</c:v>
                </c:pt>
                <c:pt idx="8">
                  <c:v>III</c:v>
                </c:pt>
                <c:pt idx="9">
                  <c:v>IV</c:v>
                </c:pt>
                <c:pt idx="10">
                  <c:v>V</c:v>
                </c:pt>
                <c:pt idx="11">
                  <c:v>VI</c:v>
                </c:pt>
                <c:pt idx="12">
                  <c:v>VII</c:v>
                </c:pt>
              </c:strCache>
            </c:strRef>
          </c:cat>
          <c:val>
            <c:numRef>
              <c:f>zaJul2015!$B$3:$N$3</c:f>
              <c:numCache>
                <c:formatCode>General</c:formatCode>
                <c:ptCount val="13"/>
                <c:pt idx="0">
                  <c:v>257613</c:v>
                </c:pt>
                <c:pt idx="1">
                  <c:v>195984</c:v>
                </c:pt>
                <c:pt idx="2">
                  <c:v>248813</c:v>
                </c:pt>
                <c:pt idx="3">
                  <c:v>254767</c:v>
                </c:pt>
                <c:pt idx="4" formatCode="0">
                  <c:v>229828</c:v>
                </c:pt>
                <c:pt idx="5" formatCode="0">
                  <c:v>206415</c:v>
                </c:pt>
                <c:pt idx="6" formatCode="0">
                  <c:v>169568</c:v>
                </c:pt>
                <c:pt idx="7" formatCode="0">
                  <c:v>201039</c:v>
                </c:pt>
                <c:pt idx="8" formatCode="0">
                  <c:v>213208</c:v>
                </c:pt>
                <c:pt idx="9" formatCode="0">
                  <c:v>208576</c:v>
                </c:pt>
                <c:pt idx="10" formatCode="0">
                  <c:v>207040</c:v>
                </c:pt>
                <c:pt idx="11" formatCode="0">
                  <c:v>238732</c:v>
                </c:pt>
                <c:pt idx="12" formatCode="0">
                  <c:v>242893</c:v>
                </c:pt>
              </c:numCache>
            </c:numRef>
          </c:val>
        </c:ser>
        <c:dLbls/>
        <c:marker val="1"/>
        <c:axId val="76434816"/>
        <c:axId val="76448896"/>
      </c:lineChart>
      <c:catAx>
        <c:axId val="76434816"/>
        <c:scaling>
          <c:orientation val="minMax"/>
        </c:scaling>
        <c:axPos val="b"/>
        <c:minorGridlines>
          <c:spPr>
            <a:ln w="3175"/>
          </c:spPr>
        </c:minorGridlines>
        <c:numFmt formatCode="General" sourceLinked="0"/>
        <c:tickLblPos val="nextTo"/>
        <c:spPr>
          <a:ln w="3175"/>
        </c:spPr>
        <c:crossAx val="76448896"/>
        <c:crosses val="autoZero"/>
        <c:auto val="1"/>
        <c:lblAlgn val="ctr"/>
        <c:lblOffset val="100"/>
      </c:catAx>
      <c:valAx>
        <c:axId val="76448896"/>
        <c:scaling>
          <c:orientation val="minMax"/>
        </c:scaling>
        <c:axPos val="l"/>
        <c:majorGridlines>
          <c:spPr>
            <a:ln w="3175"/>
          </c:spPr>
        </c:majorGridlines>
        <c:numFmt formatCode="#,##0" sourceLinked="0"/>
        <c:tickLblPos val="nextTo"/>
        <c:spPr>
          <a:ln w="3175"/>
        </c:spPr>
        <c:crossAx val="76434816"/>
        <c:crosses val="autoZero"/>
        <c:crossBetween val="between"/>
      </c:valAx>
    </c:plotArea>
    <c:legend>
      <c:legendPos val="r"/>
      <c:layout>
        <c:manualLayout>
          <c:xMode val="edge"/>
          <c:yMode val="edge"/>
          <c:x val="0.78277341897557962"/>
          <c:y val="0.34220861281228737"/>
          <c:w val="0.21298766545058434"/>
          <c:h val="0.1901782832701468"/>
        </c:manualLayout>
      </c:layout>
    </c:legend>
    <c:plotVisOnly val="1"/>
    <c:dispBlanksAs val="gap"/>
  </c:chart>
  <c:spPr>
    <a:ln>
      <a:noFill/>
    </a:ln>
  </c:spPr>
  <c:txPr>
    <a:bodyPr/>
    <a:lstStyle/>
    <a:p>
      <a:pPr>
        <a:defRPr sz="800" baseline="0">
          <a:latin typeface="Arial Narrow" panose="020B0606020202030204" pitchFamily="34"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0.85621</cdr:x>
      <cdr:y>0.34833</cdr:y>
    </cdr:from>
    <cdr:to>
      <cdr:x>1</cdr:x>
      <cdr:y>0.45064</cdr:y>
    </cdr:to>
    <cdr:sp macro="" textlink="">
      <cdr:nvSpPr>
        <cdr:cNvPr id="2" name="TextBox 1"/>
        <cdr:cNvSpPr txBox="1"/>
      </cdr:nvSpPr>
      <cdr:spPr>
        <a:xfrm xmlns:a="http://schemas.openxmlformats.org/drawingml/2006/main">
          <a:off x="3649965" y="862641"/>
          <a:ext cx="612491" cy="253366"/>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import</a:t>
          </a:r>
        </a:p>
      </cdr:txBody>
    </cdr:sp>
  </cdr:relSizeAnchor>
  <cdr:relSizeAnchor xmlns:cdr="http://schemas.openxmlformats.org/drawingml/2006/chartDrawing">
    <cdr:from>
      <cdr:x>0.85463</cdr:x>
      <cdr:y>0.43193</cdr:y>
    </cdr:from>
    <cdr:to>
      <cdr:x>0.97816</cdr:x>
      <cdr:y>0.52598</cdr:y>
    </cdr:to>
    <cdr:sp macro="" textlink="">
      <cdr:nvSpPr>
        <cdr:cNvPr id="3" name="TextBox 1"/>
        <cdr:cNvSpPr txBox="1"/>
      </cdr:nvSpPr>
      <cdr:spPr>
        <a:xfrm xmlns:a="http://schemas.openxmlformats.org/drawingml/2006/main">
          <a:off x="3640347" y="1069676"/>
          <a:ext cx="526211" cy="232913"/>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982A-8955-495C-8AAC-D3989801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5</Pages>
  <Words>1124</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8288</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kandicje</cp:lastModifiedBy>
  <cp:revision>445</cp:revision>
  <cp:lastPrinted>2015-08-21T08:54:00Z</cp:lastPrinted>
  <dcterms:created xsi:type="dcterms:W3CDTF">2014-03-14T12:01:00Z</dcterms:created>
  <dcterms:modified xsi:type="dcterms:W3CDTF">2015-08-21T12:54:00Z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