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5D5311" w:rsidRPr="00BC381E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page"/>
            </w:r>
            <w:r w:rsidRPr="00BC381E">
              <w:rPr>
                <w:rFonts w:ascii="Tahoma" w:hAnsi="Tahoma" w:cs="Tahoma"/>
              </w:rPr>
              <w:br w:type="page"/>
            </w:r>
            <w:r w:rsidR="008B47D1" w:rsidRPr="00BC381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C381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BA"/>
              </w:rPr>
              <w:t xml:space="preserve">                   </w:t>
            </w:r>
            <w:r w:rsidR="005D5311" w:rsidRPr="00BC381E">
              <w:rPr>
                <w:rFonts w:ascii="Tahoma" w:hAnsi="Tahoma" w:cs="Tahoma"/>
                <w:sz w:val="16"/>
                <w:lang w:val="sr-Cyrl-BA"/>
              </w:rPr>
              <w:t>[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>21</w:t>
            </w:r>
            <w:r w:rsidR="005D5311" w:rsidRPr="00BC381E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септембар </w:t>
            </w:r>
            <w:r w:rsidR="00E72BD4" w:rsidRPr="00BC381E">
              <w:rPr>
                <w:rFonts w:ascii="Tahoma" w:hAnsi="Tahoma" w:cs="Tahoma"/>
                <w:sz w:val="16"/>
                <w:lang w:val="sr-Cyrl-BA"/>
              </w:rPr>
              <w:t>2012</w:t>
            </w:r>
            <w:r w:rsidR="005D5311" w:rsidRPr="00BC381E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</w:p>
          <w:p w:rsidR="005D5311" w:rsidRPr="00BC381E" w:rsidRDefault="00BC381E" w:rsidP="006E212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BC381E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9</w:t>
            </w:r>
            <w:r w:rsidR="005D5311" w:rsidRPr="00BC381E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E72BD4" w:rsidRPr="00BC381E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2</w:t>
            </w:r>
          </w:p>
        </w:tc>
      </w:tr>
      <w:tr w:rsidR="005D5311" w:rsidRPr="00BC381E" w:rsidTr="008B47D1">
        <w:trPr>
          <w:cantSplit/>
        </w:trPr>
        <w:tc>
          <w:tcPr>
            <w:tcW w:w="5385" w:type="dxa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C381E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C381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BC381E" w:rsidP="00EF319F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септембар</w:t>
            </w:r>
            <w:r w:rsidR="007E158B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E72BD4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C381E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BC381E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D55F5" w:rsidRPr="00BC381E" w:rsidRDefault="00BD55F5" w:rsidP="00094E6E">
      <w:pPr>
        <w:tabs>
          <w:tab w:val="left" w:pos="1985"/>
        </w:tabs>
        <w:jc w:val="both"/>
        <w:rPr>
          <w:rFonts w:ascii="Tahoma" w:hAnsi="Tahoma" w:cs="Tahoma"/>
          <w:lang w:val="sr-Cyrl-CS"/>
        </w:rPr>
      </w:pPr>
    </w:p>
    <w:p w:rsidR="005E0301" w:rsidRPr="00BC381E" w:rsidRDefault="00E324C6" w:rsidP="00094E6E">
      <w:pPr>
        <w:jc w:val="both"/>
        <w:rPr>
          <w:rFonts w:ascii="Tahoma" w:hAnsi="Tahoma" w:cs="Tahoma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t>П</w:t>
      </w:r>
      <w:r w:rsidR="00C6075B" w:rsidRPr="00BC381E">
        <w:rPr>
          <w:rFonts w:ascii="Tahoma" w:hAnsi="Tahoma" w:cs="Tahoma"/>
          <w:b/>
          <w:sz w:val="28"/>
          <w:szCs w:val="28"/>
          <w:lang w:val="sr-Cyrl-CS"/>
        </w:rPr>
        <w:t>росјечн</w:t>
      </w:r>
      <w:r w:rsidR="00C6075B" w:rsidRPr="00BC381E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="00C6075B" w:rsidRPr="00BC381E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C6075B" w:rsidRPr="00BC381E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1A6CDD" w:rsidRPr="00BC381E">
        <w:rPr>
          <w:rFonts w:ascii="Tahoma" w:hAnsi="Tahoma" w:cs="Tahoma"/>
          <w:b/>
          <w:sz w:val="28"/>
          <w:szCs w:val="28"/>
          <w:lang w:val="sr-Cyrl-CS"/>
        </w:rPr>
        <w:t>августу</w:t>
      </w:r>
      <w:r w:rsidR="0032304A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BC381E">
        <w:rPr>
          <w:rFonts w:ascii="Tahoma" w:hAnsi="Tahoma" w:cs="Tahoma"/>
          <w:b/>
          <w:sz w:val="28"/>
          <w:szCs w:val="28"/>
          <w:lang w:val="sr-Cyrl-CS"/>
        </w:rPr>
        <w:t>8</w:t>
      </w:r>
      <w:r w:rsidR="001A6CDD" w:rsidRPr="00BC381E">
        <w:rPr>
          <w:rFonts w:ascii="Tahoma" w:hAnsi="Tahoma" w:cs="Tahoma"/>
          <w:b/>
          <w:sz w:val="28"/>
          <w:szCs w:val="28"/>
          <w:lang w:val="sr-Cyrl-CS"/>
        </w:rPr>
        <w:t>18</w:t>
      </w:r>
      <w:r w:rsidR="000668D4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A727AE" w:rsidRPr="00BC381E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E0301" w:rsidRPr="00BC381E" w:rsidRDefault="005E0301" w:rsidP="00094E6E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BC381E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BC381E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="00B61F72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C381E">
        <w:rPr>
          <w:rFonts w:ascii="Tahoma" w:hAnsi="Tahoma" w:cs="Tahoma"/>
          <w:sz w:val="24"/>
          <w:szCs w:val="24"/>
          <w:lang w:val="ru-RU"/>
        </w:rPr>
        <w:t xml:space="preserve">1 </w:t>
      </w:r>
      <w:r w:rsidR="00FC475A" w:rsidRPr="00BC381E">
        <w:rPr>
          <w:rFonts w:ascii="Tahoma" w:hAnsi="Tahoma" w:cs="Tahoma"/>
          <w:sz w:val="24"/>
          <w:szCs w:val="24"/>
          <w:lang w:val="sr-Cyrl-CS"/>
        </w:rPr>
        <w:t>2</w:t>
      </w:r>
      <w:r w:rsidR="001A6CDD" w:rsidRPr="00BC381E">
        <w:rPr>
          <w:rFonts w:ascii="Tahoma" w:hAnsi="Tahoma" w:cs="Tahoma"/>
          <w:sz w:val="24"/>
          <w:szCs w:val="24"/>
          <w:lang w:val="sr-Cyrl-CS"/>
        </w:rPr>
        <w:t>87</w:t>
      </w:r>
      <w:r w:rsidR="00B61F72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C381E">
        <w:rPr>
          <w:rFonts w:ascii="Tahoma" w:hAnsi="Tahoma" w:cs="Tahoma"/>
          <w:sz w:val="24"/>
          <w:szCs w:val="24"/>
          <w:lang w:val="ru-RU"/>
        </w:rPr>
        <w:t>КМ</w:t>
      </w:r>
      <w:r w:rsidRPr="00BC381E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="00D36059" w:rsidRPr="00BC381E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="00DE329F" w:rsidRPr="00BC381E">
        <w:rPr>
          <w:rFonts w:ascii="Tahoma" w:hAnsi="Tahoma" w:cs="Tahoma"/>
          <w:sz w:val="24"/>
          <w:szCs w:val="24"/>
          <w:lang w:val="sr-Cyrl-CS"/>
        </w:rPr>
        <w:t xml:space="preserve"> 5</w:t>
      </w:r>
      <w:r w:rsidR="00270850" w:rsidRPr="00BC381E">
        <w:rPr>
          <w:rFonts w:ascii="Tahoma" w:hAnsi="Tahoma" w:cs="Tahoma"/>
          <w:sz w:val="24"/>
          <w:szCs w:val="24"/>
          <w:lang w:val="sr-Cyrl-CS"/>
        </w:rPr>
        <w:t>5</w:t>
      </w:r>
      <w:r w:rsidR="001A6CDD" w:rsidRPr="00BC381E">
        <w:rPr>
          <w:rFonts w:ascii="Tahoma" w:hAnsi="Tahoma" w:cs="Tahoma"/>
          <w:sz w:val="24"/>
          <w:szCs w:val="24"/>
          <w:lang w:val="sr-Cyrl-CS"/>
        </w:rPr>
        <w:t>0</w:t>
      </w:r>
      <w:r w:rsidR="0032304A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869EB" w:rsidRPr="00BC381E">
        <w:rPr>
          <w:rFonts w:ascii="Tahoma" w:hAnsi="Tahoma" w:cs="Tahoma"/>
          <w:sz w:val="24"/>
          <w:szCs w:val="24"/>
          <w:lang w:val="sr-Cyrl-CS"/>
        </w:rPr>
        <w:t>КМ</w:t>
      </w:r>
    </w:p>
    <w:p w:rsidR="005E0301" w:rsidRPr="00BC381E" w:rsidRDefault="005E0301" w:rsidP="00094E6E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BC381E" w:rsidRDefault="00FF2825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BC381E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BC381E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исплаћена 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Pr="00BC381E">
        <w:rPr>
          <w:rFonts w:ascii="Tahoma" w:hAnsi="Tahoma" w:cs="Tahoma"/>
          <w:sz w:val="18"/>
          <w:szCs w:val="18"/>
          <w:lang w:val="sr-Cyrl-CS"/>
        </w:rPr>
        <w:t>.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BC381E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8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18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КМ</w:t>
      </w:r>
      <w:r w:rsidRPr="00BC381E">
        <w:rPr>
          <w:rFonts w:ascii="Tahoma" w:hAnsi="Tahoma" w:cs="Tahoma"/>
          <w:sz w:val="18"/>
          <w:szCs w:val="18"/>
          <w:lang w:val="hr-HR"/>
        </w:rPr>
        <w:t>,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BC381E">
        <w:rPr>
          <w:rFonts w:ascii="Tahoma" w:hAnsi="Tahoma" w:cs="Tahoma"/>
          <w:sz w:val="18"/>
          <w:szCs w:val="18"/>
          <w:lang w:val="sr-Cyrl-CS"/>
        </w:rPr>
        <w:t>росјечна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1 3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49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КМ. </w:t>
      </w:r>
    </w:p>
    <w:p w:rsidR="00FF2825" w:rsidRPr="00BC381E" w:rsidRDefault="00FF2825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E3F1D" w:rsidRPr="00BC381E" w:rsidRDefault="00FF2825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>Просјечна не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то плата исплаћена 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године у односу на 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ју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л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B25902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.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године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мања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је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номинално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% а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 xml:space="preserve"> реално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9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>%</w:t>
      </w:r>
      <w:r w:rsidRPr="00BC381E">
        <w:rPr>
          <w:rFonts w:ascii="Tahoma" w:hAnsi="Tahoma" w:cs="Tahoma"/>
          <w:sz w:val="18"/>
          <w:szCs w:val="18"/>
          <w:lang w:val="sr-Cyrl-CS"/>
        </w:rPr>
        <w:t>. У односу на просјечну нето плату у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1</w:t>
      </w:r>
      <w:r w:rsidRPr="00BC381E">
        <w:rPr>
          <w:rFonts w:ascii="Tahoma" w:hAnsi="Tahoma" w:cs="Tahoma"/>
          <w:sz w:val="18"/>
          <w:szCs w:val="18"/>
          <w:lang w:val="sr-Cyrl-CS"/>
        </w:rPr>
        <w:t>. годин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и, просјечна нето плата 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године већа је номинално за 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>1</w:t>
      </w:r>
      <w:r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1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док је реално остала на истом нивоу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. године у односу на исти мјесец прошле године просјечна нето плата номинално </w:t>
      </w:r>
      <w:r w:rsidR="00097EF8" w:rsidRPr="00BC381E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 xml:space="preserve">већа за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%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>док је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реално 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 xml:space="preserve">мања за </w:t>
      </w:r>
      <w:r w:rsidR="001A6CDD" w:rsidRPr="00BC381E">
        <w:rPr>
          <w:rFonts w:ascii="Tahoma" w:hAnsi="Tahoma" w:cs="Tahoma"/>
          <w:sz w:val="18"/>
          <w:szCs w:val="18"/>
          <w:lang w:val="sr-Cyrl-BA"/>
        </w:rPr>
        <w:t>1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BA"/>
        </w:rPr>
        <w:t>3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>%</w:t>
      </w:r>
      <w:r w:rsidR="003C7B1D" w:rsidRPr="00BC381E">
        <w:rPr>
          <w:rFonts w:ascii="Tahoma" w:hAnsi="Tahoma" w:cs="Tahoma"/>
          <w:sz w:val="18"/>
          <w:szCs w:val="18"/>
          <w:lang w:val="sr-Cyrl-BA"/>
        </w:rPr>
        <w:t>.</w:t>
      </w:r>
    </w:p>
    <w:p w:rsidR="000B62D8" w:rsidRPr="00BC381E" w:rsidRDefault="000B62D8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BC381E" w:rsidRDefault="005E0301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>Највиша просјечна нето плата</w:t>
      </w:r>
      <w:r w:rsidR="00C36EC5" w:rsidRPr="00BC381E">
        <w:rPr>
          <w:rFonts w:ascii="Tahoma" w:hAnsi="Tahoma" w:cs="Tahoma"/>
          <w:sz w:val="18"/>
          <w:szCs w:val="18"/>
          <w:lang w:val="sr-Cyrl-CS"/>
        </w:rPr>
        <w:t xml:space="preserve"> 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>. године</w:t>
      </w:r>
      <w:r w:rsidRPr="00BC381E">
        <w:rPr>
          <w:rFonts w:ascii="Tahoma" w:hAnsi="Tahoma" w:cs="Tahoma"/>
          <w:sz w:val="18"/>
          <w:szCs w:val="18"/>
          <w:lang w:val="sr-Cyrl-CS"/>
        </w:rPr>
        <w:t>, посматра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но по подручјима дјелатности, исплаћена је у подручју </w:t>
      </w:r>
      <w:r w:rsidRPr="00BC381E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и износи 1 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87</w:t>
      </w:r>
      <w:r w:rsidR="00C03F5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КМ, а најнижа у подручју </w:t>
      </w:r>
      <w:r w:rsidR="00351BFE" w:rsidRPr="00BC381E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="00351BF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5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5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C36EC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КМ.</w:t>
      </w:r>
    </w:p>
    <w:p w:rsidR="0089681F" w:rsidRPr="00BC381E" w:rsidRDefault="0089681F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BC381E" w:rsidRDefault="00DE329F" w:rsidP="00094E6E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="007B317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B317B" w:rsidRPr="00BC381E">
        <w:rPr>
          <w:rFonts w:ascii="Tahoma" w:hAnsi="Tahoma" w:cs="Tahoma"/>
          <w:sz w:val="18"/>
          <w:szCs w:val="18"/>
          <w:lang w:val="ru-RU"/>
        </w:rPr>
        <w:t>201</w:t>
      </w:r>
      <w:r w:rsidR="003C7B1D" w:rsidRPr="00BC381E">
        <w:rPr>
          <w:rFonts w:ascii="Tahoma" w:hAnsi="Tahoma" w:cs="Tahoma"/>
          <w:sz w:val="18"/>
          <w:szCs w:val="18"/>
          <w:lang w:val="ru-RU"/>
        </w:rPr>
        <w:t>2</w:t>
      </w:r>
      <w:r w:rsidR="007B317B" w:rsidRPr="00BC381E">
        <w:rPr>
          <w:rFonts w:ascii="Tahoma" w:hAnsi="Tahoma" w:cs="Tahoma"/>
          <w:sz w:val="18"/>
          <w:szCs w:val="18"/>
          <w:lang w:val="ru-RU"/>
        </w:rPr>
        <w:t>. године, у</w:t>
      </w:r>
      <w:r w:rsidR="00BE3F1D" w:rsidRPr="00BC381E">
        <w:rPr>
          <w:rFonts w:ascii="Tahoma" w:hAnsi="Tahoma" w:cs="Tahoma"/>
          <w:sz w:val="18"/>
          <w:szCs w:val="18"/>
          <w:lang w:val="ru-RU"/>
        </w:rPr>
        <w:t xml:space="preserve"> односу на</w:t>
      </w:r>
      <w:r w:rsidR="0043513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ју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л</w:t>
      </w:r>
      <w:r w:rsidR="00F4528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BC381E">
        <w:rPr>
          <w:rFonts w:ascii="Tahoma" w:hAnsi="Tahoma" w:cs="Tahoma"/>
          <w:sz w:val="18"/>
          <w:szCs w:val="18"/>
          <w:lang w:val="ru-RU"/>
        </w:rPr>
        <w:t>201</w:t>
      </w:r>
      <w:r w:rsidR="00B25902" w:rsidRPr="00BC381E">
        <w:rPr>
          <w:rFonts w:ascii="Tahoma" w:hAnsi="Tahoma" w:cs="Tahoma"/>
          <w:sz w:val="18"/>
          <w:szCs w:val="18"/>
          <w:lang w:val="ru-RU"/>
        </w:rPr>
        <w:t>2</w:t>
      </w:r>
      <w:r w:rsidR="00C6075B" w:rsidRPr="00BC381E">
        <w:rPr>
          <w:rFonts w:ascii="Tahoma" w:hAnsi="Tahoma" w:cs="Tahoma"/>
          <w:sz w:val="18"/>
          <w:szCs w:val="18"/>
          <w:lang w:val="ru-RU"/>
        </w:rPr>
        <w:t>.</w:t>
      </w:r>
      <w:r w:rsidR="003E412B" w:rsidRPr="00BC381E">
        <w:rPr>
          <w:rFonts w:ascii="Tahoma" w:hAnsi="Tahoma" w:cs="Tahoma"/>
          <w:sz w:val="18"/>
          <w:szCs w:val="18"/>
          <w:lang w:val="ru-RU"/>
        </w:rPr>
        <w:t xml:space="preserve"> године, </w:t>
      </w:r>
      <w:r w:rsidR="00BE3F1D" w:rsidRPr="00BC381E">
        <w:rPr>
          <w:rFonts w:ascii="Tahoma" w:hAnsi="Tahoma" w:cs="Tahoma"/>
          <w:sz w:val="18"/>
          <w:szCs w:val="18"/>
          <w:lang w:val="ru-RU"/>
        </w:rPr>
        <w:t>н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ајвећи номинални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раст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 xml:space="preserve">нето 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плате забиљежен </w:t>
      </w:r>
      <w:r w:rsidR="003E412B" w:rsidRPr="00BC381E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у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 xml:space="preserve"> подручјима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Грађевинарство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за 1,6%, 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>Здравствени и социјални рад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за 1,0% и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Образовање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за 0,8%</w:t>
      </w:r>
      <w:r w:rsidR="005E030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за 7,4%, 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Саобраћај, складиштење и комуникације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за 2,9% и </w:t>
      </w:r>
      <w:r w:rsidR="001A6CDD" w:rsidRPr="001B25D5">
        <w:rPr>
          <w:rFonts w:ascii="Tahoma" w:hAnsi="Tahoma" w:cs="Tahoma"/>
          <w:i/>
          <w:sz w:val="18"/>
          <w:szCs w:val="18"/>
          <w:lang w:val="sr-Cyrl-CS"/>
        </w:rPr>
        <w:t>Рибарство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за 2,8%</w:t>
      </w:r>
      <w:r w:rsidR="00097EF8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3C7B1D" w:rsidRPr="00BC381E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565FA3" w:rsidRPr="00BC381E" w:rsidRDefault="00565FA3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CD0CCB" w:rsidRPr="00BC381E" w:rsidRDefault="0062747F" w:rsidP="000B2980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62747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11.2pt;margin-top:8.35pt;width:41.05pt;height:26.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A639F7" w:rsidRPr="0078288A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Pr="0062747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243.05pt;margin-top:247.05pt;width:41.3pt;height:17.6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A639F7" w:rsidRPr="0029071F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2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62747F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19.1pt;margin-top:246.25pt;width:50.4pt;height:17.6pt;z-index:25166950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639F7" w:rsidRPr="0029071F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="001A6CDD" w:rsidRPr="00BC381E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05351" cy="3152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CCB" w:rsidRPr="00BC381E" w:rsidRDefault="00CD0CC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BC381E" w:rsidRDefault="00CD0CC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BC381E" w:rsidRDefault="00BF2682" w:rsidP="00094E6E">
      <w:pPr>
        <w:ind w:left="-142"/>
        <w:jc w:val="both"/>
        <w:outlineLvl w:val="0"/>
        <w:rPr>
          <w:rFonts w:ascii="Tahoma" w:hAnsi="Tahoma" w:cs="Tahoma"/>
          <w:sz w:val="16"/>
          <w:lang w:val="sr-Cyrl-CS"/>
        </w:rPr>
      </w:pPr>
      <w:r w:rsidRPr="00BC381E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0328B8" w:rsidRPr="00BC381E">
        <w:rPr>
          <w:rFonts w:ascii="Tahoma" w:hAnsi="Tahoma" w:cs="Tahoma"/>
          <w:sz w:val="16"/>
          <w:szCs w:val="16"/>
          <w:lang w:val="sr-Cyrl-BA"/>
        </w:rPr>
        <w:t xml:space="preserve">Графикон </w:t>
      </w:r>
      <w:r w:rsidR="009C1EDF" w:rsidRPr="00BC381E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BC381E">
        <w:rPr>
          <w:rFonts w:ascii="Tahoma" w:hAnsi="Tahoma" w:cs="Tahoma"/>
          <w:sz w:val="16"/>
          <w:szCs w:val="16"/>
          <w:lang w:val="ru-RU"/>
        </w:rPr>
        <w:t>.</w:t>
      </w:r>
      <w:r w:rsidR="005E0301" w:rsidRPr="00BC381E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5E0301" w:rsidRPr="00BC381E">
        <w:rPr>
          <w:rFonts w:ascii="Tahoma" w:hAnsi="Tahoma" w:cs="Tahoma"/>
          <w:sz w:val="16"/>
          <w:lang w:val="sr-Cyrl-CS"/>
        </w:rPr>
        <w:t>П</w:t>
      </w:r>
      <w:r w:rsidR="005E0301" w:rsidRPr="00BC381E">
        <w:rPr>
          <w:rFonts w:ascii="Tahoma" w:hAnsi="Tahoma" w:cs="Tahoma"/>
          <w:sz w:val="16"/>
          <w:lang w:val="ru-RU"/>
        </w:rPr>
        <w:t>росјечн</w:t>
      </w:r>
      <w:r w:rsidR="005E0301" w:rsidRPr="00BC381E">
        <w:rPr>
          <w:rFonts w:ascii="Tahoma" w:hAnsi="Tahoma" w:cs="Tahoma"/>
          <w:sz w:val="16"/>
        </w:rPr>
        <w:t>e</w:t>
      </w:r>
      <w:r w:rsidR="005E0301" w:rsidRPr="00BC381E">
        <w:rPr>
          <w:rFonts w:ascii="Tahoma" w:hAnsi="Tahoma" w:cs="Tahoma"/>
          <w:sz w:val="16"/>
          <w:lang w:val="ru-RU"/>
        </w:rPr>
        <w:t xml:space="preserve"> нето плат</w:t>
      </w:r>
      <w:r w:rsidR="005E0301" w:rsidRPr="00BC381E">
        <w:rPr>
          <w:rFonts w:ascii="Tahoma" w:hAnsi="Tahoma" w:cs="Tahoma"/>
          <w:sz w:val="16"/>
        </w:rPr>
        <w:t>e</w:t>
      </w:r>
      <w:r w:rsidR="005E0301" w:rsidRPr="00BC381E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29071F" w:rsidRPr="00BC381E" w:rsidRDefault="0029071F" w:rsidP="00094E6E">
      <w:pPr>
        <w:ind w:left="-142"/>
        <w:jc w:val="both"/>
        <w:outlineLvl w:val="0"/>
        <w:rPr>
          <w:rFonts w:ascii="Tahoma" w:hAnsi="Tahoma" w:cs="Tahoma"/>
          <w:sz w:val="16"/>
          <w:szCs w:val="16"/>
          <w:lang w:val="sr-Cyrl-CS"/>
        </w:rPr>
      </w:pPr>
    </w:p>
    <w:p w:rsidR="00DC3BA1" w:rsidRPr="00BC381E" w:rsidRDefault="005E0301" w:rsidP="00094E6E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  <w:r w:rsidRPr="00BC381E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0C4E02" w:rsidRPr="00BC381E" w:rsidRDefault="000C4E02">
      <w:pPr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457F03" w:rsidRPr="00BC381E" w:rsidRDefault="00457F03" w:rsidP="00457F03">
      <w:pPr>
        <w:rPr>
          <w:rFonts w:ascii="Tahoma" w:hAnsi="Tahoma" w:cs="Tahoma"/>
          <w:b/>
          <w:sz w:val="28"/>
          <w:szCs w:val="28"/>
        </w:rPr>
      </w:pPr>
      <w:r w:rsidRPr="00BC381E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августу 2012. године 0,3%</w:t>
      </w:r>
    </w:p>
    <w:p w:rsidR="00457F03" w:rsidRPr="00BC381E" w:rsidRDefault="00457F03" w:rsidP="00457F03">
      <w:pPr>
        <w:rPr>
          <w:rFonts w:ascii="Tahoma" w:hAnsi="Tahoma" w:cs="Tahoma"/>
          <w:b/>
          <w:sz w:val="28"/>
          <w:szCs w:val="28"/>
          <w:lang w:val="sr-Cyrl-BA"/>
        </w:rPr>
      </w:pPr>
      <w:r w:rsidRPr="00BC381E">
        <w:rPr>
          <w:rFonts w:ascii="Tahoma" w:hAnsi="Tahoma" w:cs="Tahoma"/>
          <w:b/>
          <w:sz w:val="28"/>
          <w:szCs w:val="28"/>
          <w:lang w:val="sr-Cyrl-BA"/>
        </w:rPr>
        <w:t>Г</w:t>
      </w:r>
      <w:r w:rsidR="006C343F">
        <w:rPr>
          <w:rFonts w:ascii="Tahoma" w:hAnsi="Tahoma" w:cs="Tahoma"/>
          <w:b/>
          <w:sz w:val="28"/>
          <w:szCs w:val="28"/>
          <w:lang w:val="sr-Cyrl-BA"/>
        </w:rPr>
        <w:t>одишња инфлација (август 2012 /</w:t>
      </w:r>
      <w:r w:rsidRPr="00BC381E">
        <w:rPr>
          <w:rFonts w:ascii="Tahoma" w:hAnsi="Tahoma" w:cs="Tahoma"/>
          <w:b/>
          <w:sz w:val="28"/>
          <w:szCs w:val="28"/>
          <w:lang w:val="sr-Cyrl-BA"/>
        </w:rPr>
        <w:t>август 2011) 1,9%</w:t>
      </w:r>
    </w:p>
    <w:p w:rsidR="001561A7" w:rsidRPr="00BC381E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457F03" w:rsidRPr="00BC381E" w:rsidRDefault="00457F03" w:rsidP="00457F03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августу 2012. године у односу на јул 2012. године, у просјеку су више за 0,3%.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Забиљежен је раст код 4 од укупно 12 одјељака. Раст цијена у августу забиљежен је у одјељцима 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>Превоз, Становање, Алкохолна пића и дуван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и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Највећи раст цијена у августу забиљежен је у одјељку 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Pr="00A639F7">
        <w:rPr>
          <w:rFonts w:ascii="Tahoma" w:hAnsi="Tahoma" w:cs="Tahoma"/>
          <w:sz w:val="18"/>
          <w:szCs w:val="18"/>
          <w:lang w:val="sr-Cyrl-BA"/>
        </w:rPr>
        <w:t>3,1%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због поновног поскупљења свих врста горива за 5,4%</w:t>
      </w:r>
      <w:r w:rsidRPr="00BC381E">
        <w:rPr>
          <w:rFonts w:ascii="Tahoma" w:hAnsi="Tahoma" w:cs="Tahoma"/>
          <w:sz w:val="18"/>
          <w:szCs w:val="18"/>
        </w:rPr>
        <w:t>.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</w:p>
    <w:p w:rsidR="00457F03" w:rsidRPr="00BC381E" w:rsidRDefault="00457F03" w:rsidP="00457F03">
      <w:pPr>
        <w:spacing w:after="120"/>
        <w:jc w:val="both"/>
        <w:rPr>
          <w:rFonts w:ascii="Tahoma" w:eastAsia="Calibri" w:hAnsi="Tahoma" w:cs="Tahoma"/>
          <w:b/>
          <w:sz w:val="18"/>
          <w:szCs w:val="18"/>
          <w:lang w:val="sr-Cyrl-BA"/>
        </w:rPr>
      </w:pP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Одјељак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Становање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0,4% и то због више цијене лож уља за 5,4%, плина у боцама и огр</w:t>
      </w:r>
      <w:r w:rsidR="00A639F7">
        <w:rPr>
          <w:rFonts w:ascii="Tahoma" w:eastAsia="Calibri" w:hAnsi="Tahoma" w:cs="Tahoma"/>
          <w:sz w:val="18"/>
          <w:szCs w:val="18"/>
        </w:rPr>
        <w:t>e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вног дрвета за 1,4%. 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0,2%, и то група Алкохолна пића биљежи раст 0,6% усљед повећања цијене пива за 1,0% и вискија за 0,5%.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 И у одјељку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Остала добра и услуге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0,2%, због повећања цијена производа за одржавање личне хигијене (тоалет сапун, шампон,</w:t>
      </w:r>
      <w:r w:rsidRPr="00BC381E">
        <w:rPr>
          <w:rFonts w:ascii="Tahoma" w:hAnsi="Tahoma" w:cs="Tahoma"/>
          <w:sz w:val="18"/>
          <w:szCs w:val="18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креме, пасте за зубе и сл.) за 0,7%, као и осталих производа за личну хигијену (тоалет папир, хигијенски улошци, пелене за једнократну употребу) за 0,2%.</w:t>
      </w:r>
    </w:p>
    <w:p w:rsidR="00457F03" w:rsidRPr="00BC381E" w:rsidRDefault="00457F03" w:rsidP="00457F03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У одјељцима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Комуникације, Рекреација и култура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>,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Образовање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и Ресторани и хотели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цијене се у просјеку нису мијењале.</w:t>
      </w:r>
    </w:p>
    <w:p w:rsidR="00457F03" w:rsidRPr="00BC381E" w:rsidRDefault="00457F03" w:rsidP="00457F03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</w:p>
    <w:p w:rsidR="00457F03" w:rsidRPr="00BC381E" w:rsidRDefault="00457F03" w:rsidP="00457F03">
      <w:pPr>
        <w:spacing w:after="120"/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У одјељку </w:t>
      </w:r>
      <w:r w:rsidRPr="00A639F7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забиљежен је пад цијена 0,5%, и то 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0,5%, док група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Безалкохолних пића 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биљежи раст цијена 0,1%. Иако 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цијена, у појединим подгрупама дошло </w:t>
      </w:r>
      <w:r w:rsidR="00A639F7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је 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до повећања цијена појединих производа. Тако подгрупа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Месо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од 0,7% усљед повећања цијена пилетине за 1,9%, јунетине за 1,1% и телетине за 1,0%, затим подгрупа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Риба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такође биљежи раст цијена 0,7% због повећања цијене ријечне и морске рибе за 0,8%, као и конзервисане и прерађене рибе за 0,4%. Подгрупа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Шећер, џем, мед, чоколада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 биљежи раст цијена 0,5% због повећања цијене шећера за 1,3%, меда за 0,4% и џема за 0,3%, док подгрупа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Остали прехрамбен</w:t>
      </w:r>
      <w:r w:rsidR="00A639F7">
        <w:rPr>
          <w:rFonts w:ascii="Tahoma" w:eastAsia="Calibri" w:hAnsi="Tahoma" w:cs="Tahoma"/>
          <w:i/>
          <w:sz w:val="18"/>
          <w:szCs w:val="18"/>
        </w:rPr>
        <w:t>и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производи</w:t>
      </w:r>
      <w:r w:rsidR="00A639F7">
        <w:rPr>
          <w:rFonts w:ascii="Tahoma" w:eastAsia="Calibri" w:hAnsi="Tahoma" w:cs="Tahoma"/>
          <w:i/>
          <w:sz w:val="18"/>
          <w:szCs w:val="18"/>
          <w:lang w:val="sr-Cyrl-BA"/>
        </w:rPr>
        <w:t>,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0,4% усљед повећања цијена додатка јелима (вегета, зачин Ц...) за 2,8%, сирћета за 1,4% и кухињске соли за 0,7%. Међутим на ниже цијене у групи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највећи утицај су имале подгрупе Воће и Поврће због нижих цијена сезонског воћа и поврћа. Тако подгрупа Воће је забиљежила пад цијена 5,5% због ниже цијене банана, јабука, крушака, шљива, а посебно грожђа, док подгрупа Поврће биљежи пад цијена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1,3% због нижих цијена парадај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за, паприке, патлиџана, кромпира, цвекле, мркве, иако је у овом мјесецу дошло до повећања цијена купуса и свјежег краставца. Пад цијена забиљежен је и у подгрупама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Млијеко, сир, јаја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за 0,6% због ниже цијене кокошијих јаја за 2,8% и млијека у тетрапаку за 0,5%, затим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Хљеб и житарице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за 0,5% због ниже цијене тјестенине за 0,9%, риже 0,8% и бијелог брашна 0,5%, те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Уље и масноће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за 0,2% због нижих цијена маслаца за 0,8%, свињске масти за 0,5% и јестивог уља за 0,2%. На повећање цијена 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за 0,1% највише је утицало повећање цијене какаа 1,7% и кафе 0,4%.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Пад цијена од 0,3% који је забиљежен у одјељку </w:t>
      </w:r>
      <w:r w:rsidRPr="00A639F7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настао је због због нижих цијена производа за чишћење и одржавање куће за 1,4%.</w:t>
      </w:r>
    </w:p>
    <w:p w:rsidR="00457F03" w:rsidRPr="00BC381E" w:rsidRDefault="00457F03" w:rsidP="00457F03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 w:rsidRPr="00BC381E">
        <w:rPr>
          <w:rFonts w:ascii="Tahoma" w:eastAsia="Calibri" w:hAnsi="Tahoma" w:cs="Tahoma"/>
          <w:sz w:val="18"/>
          <w:szCs w:val="18"/>
        </w:rPr>
        <w:t>O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дјељак </w:t>
      </w:r>
      <w:r w:rsidRPr="00A639F7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A639F7">
        <w:rPr>
          <w:rFonts w:ascii="Tahoma" w:eastAsia="Calibri" w:hAnsi="Tahoma" w:cs="Tahoma"/>
          <w:sz w:val="18"/>
          <w:szCs w:val="18"/>
          <w:lang w:val="sr-Cyrl-BA"/>
        </w:rPr>
        <w:t xml:space="preserve"> биљежи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пад цијена 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од 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>0</w:t>
      </w:r>
      <w:proofErr w:type="gramStart"/>
      <w:r w:rsidRPr="00BC381E">
        <w:rPr>
          <w:rFonts w:ascii="Tahoma" w:eastAsia="Calibri" w:hAnsi="Tahoma" w:cs="Tahoma"/>
          <w:sz w:val="18"/>
          <w:szCs w:val="18"/>
          <w:lang w:val="sr-Cyrl-BA"/>
        </w:rPr>
        <w:t>,2</w:t>
      </w:r>
      <w:proofErr w:type="gramEnd"/>
      <w:r w:rsidRPr="00BC381E">
        <w:rPr>
          <w:rFonts w:ascii="Tahoma" w:eastAsia="Calibri" w:hAnsi="Tahoma" w:cs="Tahoma"/>
          <w:sz w:val="18"/>
          <w:szCs w:val="18"/>
          <w:lang w:val="sr-Cyrl-BA"/>
        </w:rPr>
        <w:t>% због нижих цијена фармацеутских производа за 0,4%</w:t>
      </w:r>
      <w:r w:rsidRPr="00BC381E">
        <w:rPr>
          <w:rFonts w:ascii="Tahoma" w:eastAsia="Calibri" w:hAnsi="Tahoma" w:cs="Tahoma"/>
          <w:sz w:val="18"/>
          <w:szCs w:val="18"/>
        </w:rPr>
        <w:t>.</w:t>
      </w:r>
    </w:p>
    <w:p w:rsidR="00DA3339" w:rsidRPr="00BC381E" w:rsidRDefault="00DA3339" w:rsidP="000C4E02">
      <w:pPr>
        <w:jc w:val="both"/>
        <w:rPr>
          <w:rFonts w:ascii="Tahoma" w:eastAsia="Calibri" w:hAnsi="Tahoma" w:cs="Tahoma"/>
          <w:sz w:val="18"/>
          <w:szCs w:val="18"/>
        </w:rPr>
      </w:pPr>
    </w:p>
    <w:p w:rsidR="001561A7" w:rsidRPr="00BC381E" w:rsidRDefault="001561A7" w:rsidP="00094E6E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BC381E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августу</w:t>
      </w:r>
      <w:r w:rsidR="003C7538" w:rsidRPr="00BC381E">
        <w:rPr>
          <w:rFonts w:ascii="Tahoma" w:hAnsi="Tahoma" w:cs="Tahoma"/>
          <w:sz w:val="18"/>
          <w:szCs w:val="18"/>
          <w:lang w:val="sr-Cyrl-CS"/>
        </w:rPr>
        <w:t xml:space="preserve"> 2012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BA"/>
        </w:rPr>
        <w:t>године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="003C7538" w:rsidRPr="00BC381E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BA"/>
        </w:rPr>
        <w:t>године,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544E5" w:rsidRPr="00BC381E">
        <w:rPr>
          <w:rFonts w:ascii="Tahoma" w:hAnsi="Tahoma" w:cs="Tahoma"/>
          <w:sz w:val="18"/>
          <w:szCs w:val="18"/>
          <w:lang w:val="sr-Cyrl-CS"/>
        </w:rPr>
        <w:t>1</w:t>
      </w:r>
      <w:r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457F03" w:rsidRPr="00BC381E">
        <w:rPr>
          <w:rFonts w:ascii="Tahoma" w:hAnsi="Tahoma" w:cs="Tahoma"/>
          <w:sz w:val="18"/>
          <w:szCs w:val="18"/>
          <w:lang w:val="sr-Cyrl-CS"/>
        </w:rPr>
        <w:t>9</w:t>
      </w:r>
      <w:r w:rsidRPr="00BC381E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BC381E" w:rsidRDefault="001561A7" w:rsidP="00094E6E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августу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 xml:space="preserve"> 2012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. године у односу на 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август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2011</w:t>
      </w:r>
      <w:r w:rsidRPr="00BC381E">
        <w:rPr>
          <w:rFonts w:ascii="Tahoma" w:hAnsi="Tahoma" w:cs="Tahoma"/>
          <w:sz w:val="18"/>
          <w:szCs w:val="18"/>
          <w:lang w:val="sr-Cyrl-BA"/>
        </w:rPr>
        <w:t>. год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ине, највиши раст забиљежен је </w:t>
      </w:r>
      <w:r w:rsidRPr="00BC381E">
        <w:rPr>
          <w:rFonts w:ascii="Tahoma" w:hAnsi="Tahoma" w:cs="Tahoma"/>
          <w:sz w:val="18"/>
          <w:szCs w:val="18"/>
          <w:lang w:val="sr-Cyrl-BA"/>
        </w:rPr>
        <w:t>код одјељка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за 9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2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за 5,0%,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611CBF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 xml:space="preserve"> за 4,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3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за 1,4%,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и</w:t>
      </w:r>
      <w:r w:rsidR="00A639F7">
        <w:rPr>
          <w:rFonts w:ascii="Tahoma" w:hAnsi="Tahoma" w:cs="Tahoma"/>
          <w:i/>
          <w:sz w:val="18"/>
          <w:szCs w:val="18"/>
          <w:lang w:val="sr-Cyrl-BA"/>
        </w:rPr>
        <w:t xml:space="preserve"> услуге </w:t>
      </w:r>
      <w:r w:rsidR="00A639F7" w:rsidRPr="000827D7">
        <w:rPr>
          <w:rFonts w:ascii="Tahoma" w:hAnsi="Tahoma" w:cs="Tahoma"/>
          <w:sz w:val="18"/>
          <w:szCs w:val="18"/>
          <w:lang w:val="sr-Cyrl-BA"/>
        </w:rPr>
        <w:t>за</w:t>
      </w:r>
      <w:r w:rsidR="00A639F7">
        <w:rPr>
          <w:rFonts w:ascii="Tahoma" w:hAnsi="Tahoma" w:cs="Tahoma"/>
          <w:i/>
          <w:sz w:val="18"/>
          <w:szCs w:val="18"/>
          <w:lang w:val="sr-Cyrl-BA"/>
        </w:rPr>
        <w:t xml:space="preserve"> 0,9%,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за 0,7%,</w:t>
      </w:r>
      <w:r w:rsidR="00842CE2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Намјештај и покућство </w:t>
      </w:r>
      <w:r w:rsidR="003E6516" w:rsidRPr="000827D7">
        <w:rPr>
          <w:rFonts w:ascii="Tahoma" w:hAnsi="Tahoma" w:cs="Tahoma"/>
          <w:sz w:val="18"/>
          <w:szCs w:val="18"/>
          <w:lang w:val="sr-Cyrl-BA"/>
        </w:rPr>
        <w:t>за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>0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>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>3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>%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Здравство </w:t>
      </w:r>
      <w:r w:rsidR="00457F03" w:rsidRPr="000827D7">
        <w:rPr>
          <w:rFonts w:ascii="Tahoma" w:hAnsi="Tahoma" w:cs="Tahoma"/>
          <w:sz w:val="18"/>
          <w:szCs w:val="18"/>
          <w:lang w:val="sr-Cyrl-BA"/>
        </w:rPr>
        <w:t>за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0,1%</w:t>
      </w:r>
      <w:r w:rsidR="00842CE2" w:rsidRPr="00BC381E">
        <w:rPr>
          <w:rFonts w:ascii="Tahoma" w:hAnsi="Tahoma" w:cs="Tahoma"/>
          <w:i/>
          <w:sz w:val="18"/>
          <w:szCs w:val="18"/>
          <w:lang w:val="sr-Cyrl-BA"/>
        </w:rPr>
        <w:t>,</w:t>
      </w:r>
      <w:r w:rsidR="00FE7E72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BC381E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>0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>1</w:t>
      </w:r>
      <w:r w:rsidRPr="00BC381E">
        <w:rPr>
          <w:rFonts w:ascii="Tahoma" w:hAnsi="Tahoma" w:cs="Tahoma"/>
          <w:sz w:val="18"/>
          <w:szCs w:val="18"/>
          <w:lang w:val="sr-Cyrl-BA"/>
        </w:rPr>
        <w:t>%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за 0,1%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.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F73BF" w:rsidRPr="00BC381E">
        <w:rPr>
          <w:rFonts w:ascii="Tahoma" w:hAnsi="Tahoma" w:cs="Tahoma"/>
          <w:sz w:val="18"/>
          <w:szCs w:val="18"/>
          <w:lang w:val="sr-Cyrl-BA"/>
        </w:rPr>
        <w:t>И</w:t>
      </w:r>
      <w:r w:rsidR="00566311" w:rsidRPr="00BC381E">
        <w:rPr>
          <w:rFonts w:ascii="Tahoma" w:hAnsi="Tahoma" w:cs="Tahoma"/>
          <w:sz w:val="18"/>
          <w:szCs w:val="18"/>
          <w:lang w:val="sr-Cyrl-BA"/>
        </w:rPr>
        <w:t xml:space="preserve">ндекс одјељка </w:t>
      </w:r>
      <w:r w:rsidR="0038773A" w:rsidRPr="00BC381E">
        <w:rPr>
          <w:rFonts w:ascii="Tahoma" w:hAnsi="Tahoma" w:cs="Tahoma"/>
          <w:i/>
          <w:sz w:val="18"/>
          <w:szCs w:val="18"/>
          <w:lang w:val="sr-Cyrl-BA"/>
        </w:rPr>
        <w:t>Рекрација и култура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нижи је за 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0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7</w:t>
      </w:r>
      <w:r w:rsidR="00566311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BC381E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38773A" w:rsidRPr="00BC381E">
        <w:rPr>
          <w:rFonts w:ascii="Tahoma" w:hAnsi="Tahoma" w:cs="Tahoma"/>
          <w:sz w:val="18"/>
          <w:szCs w:val="18"/>
          <w:lang w:val="sr-Cyrl-BA"/>
        </w:rPr>
        <w:t>3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5</w:t>
      </w:r>
      <w:r w:rsidRPr="00BC381E">
        <w:rPr>
          <w:rFonts w:ascii="Tahoma" w:hAnsi="Tahoma" w:cs="Tahoma"/>
          <w:sz w:val="18"/>
          <w:szCs w:val="18"/>
          <w:lang w:val="sr-Cyrl-BA"/>
        </w:rPr>
        <w:t>%.</w:t>
      </w:r>
    </w:p>
    <w:p w:rsidR="004A08B4" w:rsidRPr="00BC381E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0C4E02" w:rsidRPr="00BC381E" w:rsidRDefault="000C4E02">
      <w:pPr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5E0301" w:rsidRPr="00BC381E" w:rsidRDefault="005E0301" w:rsidP="00094E6E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lastRenderedPageBreak/>
        <w:t xml:space="preserve">Цијене произвођача индустријских производа </w:t>
      </w:r>
      <w:r w:rsidR="00153234" w:rsidRPr="00BC381E">
        <w:rPr>
          <w:rFonts w:ascii="Tahoma" w:hAnsi="Tahoma" w:cs="Tahoma"/>
          <w:b/>
          <w:sz w:val="28"/>
          <w:szCs w:val="28"/>
          <w:lang w:val="sr-Cyrl-CS"/>
        </w:rPr>
        <w:t>(</w:t>
      </w:r>
      <w:r w:rsidR="00934059" w:rsidRPr="00BC381E">
        <w:rPr>
          <w:rFonts w:ascii="Tahoma" w:hAnsi="Tahoma" w:cs="Tahoma"/>
          <w:b/>
          <w:sz w:val="28"/>
          <w:szCs w:val="28"/>
        </w:rPr>
        <w:t>V</w:t>
      </w:r>
      <w:r w:rsidR="004A4813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3A790D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proofErr w:type="spellStart"/>
      <w:r w:rsidR="00D37E00" w:rsidRPr="00BC381E">
        <w:rPr>
          <w:rFonts w:ascii="Tahoma" w:hAnsi="Tahoma" w:cs="Tahoma"/>
          <w:b/>
          <w:sz w:val="28"/>
          <w:szCs w:val="28"/>
        </w:rPr>
        <w:t>I</w:t>
      </w:r>
      <w:proofErr w:type="spellEnd"/>
      <w:r w:rsidR="00BE5202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BC381E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775965" w:rsidRPr="00BC381E">
        <w:rPr>
          <w:rFonts w:ascii="Tahoma" w:hAnsi="Tahoma" w:cs="Tahoma"/>
          <w:b/>
          <w:sz w:val="28"/>
          <w:szCs w:val="28"/>
          <w:lang w:val="sr-Latn-CS"/>
        </w:rPr>
        <w:t>2</w:t>
      </w:r>
      <w:r w:rsidR="0009483B" w:rsidRPr="00BC381E">
        <w:rPr>
          <w:rFonts w:ascii="Tahoma" w:hAnsi="Tahoma" w:cs="Tahoma"/>
          <w:b/>
          <w:sz w:val="28"/>
          <w:szCs w:val="28"/>
          <w:lang w:val="sr-Cyrl-CS"/>
        </w:rPr>
        <w:t>/</w:t>
      </w:r>
      <w:r w:rsidR="00CB271B" w:rsidRPr="00BC381E">
        <w:rPr>
          <w:rFonts w:ascii="Tahoma" w:hAnsi="Tahoma" w:cs="Tahoma"/>
          <w:b/>
          <w:sz w:val="28"/>
          <w:szCs w:val="28"/>
          <w:lang w:val="sr-Latn-CS"/>
        </w:rPr>
        <w:t>V</w:t>
      </w:r>
      <w:r w:rsidR="003A790D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D37E00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BC381E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7A44D9" w:rsidRPr="00BC381E">
        <w:rPr>
          <w:rFonts w:ascii="Tahoma" w:hAnsi="Tahoma" w:cs="Tahoma"/>
          <w:b/>
          <w:sz w:val="28"/>
          <w:szCs w:val="28"/>
          <w:lang w:val="sr-Latn-CS"/>
        </w:rPr>
        <w:t>2</w:t>
      </w:r>
      <w:r w:rsidR="00153234" w:rsidRPr="00BC381E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BC381E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BC381E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CB271B" w:rsidRPr="00BC381E">
        <w:rPr>
          <w:rFonts w:ascii="Tahoma" w:hAnsi="Tahoma" w:cs="Tahoma"/>
          <w:b/>
          <w:sz w:val="28"/>
          <w:szCs w:val="28"/>
          <w:lang w:val="sr-Cyrl-CS"/>
        </w:rPr>
        <w:t>више</w:t>
      </w:r>
      <w:r w:rsidR="00FF2941" w:rsidRPr="00BC381E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D37E00" w:rsidRPr="00BC381E">
        <w:rPr>
          <w:rFonts w:ascii="Tahoma" w:hAnsi="Tahoma" w:cs="Tahoma"/>
          <w:b/>
          <w:sz w:val="28"/>
          <w:szCs w:val="28"/>
          <w:lang w:val="sr-Latn-CS"/>
        </w:rPr>
        <w:t>5</w:t>
      </w:r>
      <w:r w:rsidR="001B32B9" w:rsidRPr="00BC381E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BC381E" w:rsidRDefault="001B32B9" w:rsidP="00094E6E">
      <w:pPr>
        <w:jc w:val="both"/>
        <w:rPr>
          <w:rFonts w:ascii="Tahoma" w:hAnsi="Tahoma" w:cs="Tahoma"/>
          <w:lang w:val="sr-Cyrl-CS"/>
        </w:rPr>
      </w:pPr>
    </w:p>
    <w:p w:rsidR="00494DDB" w:rsidRPr="00BC381E" w:rsidRDefault="00D37E00" w:rsidP="00494DDB">
      <w:pPr>
        <w:ind w:right="68"/>
        <w:jc w:val="both"/>
        <w:rPr>
          <w:rFonts w:ascii="Tahoma" w:hAnsi="Tahoma" w:cs="Tahoma"/>
          <w:sz w:val="18"/>
          <w:szCs w:val="18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>Цијен</w:t>
      </w:r>
      <w:r w:rsidRPr="00BC381E">
        <w:rPr>
          <w:rFonts w:ascii="Tahoma" w:hAnsi="Tahoma" w:cs="Tahoma"/>
          <w:sz w:val="18"/>
          <w:szCs w:val="18"/>
        </w:rPr>
        <w:t>e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BC381E">
        <w:rPr>
          <w:rFonts w:ascii="Tahoma" w:hAnsi="Tahoma" w:cs="Tahoma"/>
          <w:sz w:val="18"/>
          <w:szCs w:val="18"/>
        </w:rPr>
        <w:t xml:space="preserve">a </w:t>
      </w:r>
      <w:r w:rsidRPr="00BC381E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августу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Pr="00BC381E">
        <w:rPr>
          <w:rFonts w:ascii="Tahoma" w:hAnsi="Tahoma" w:cs="Tahoma"/>
          <w:sz w:val="18"/>
          <w:szCs w:val="18"/>
          <w:lang w:val="sr-Cyrl-CS"/>
        </w:rPr>
        <w:t>12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C381E">
        <w:rPr>
          <w:rFonts w:ascii="Tahoma" w:hAnsi="Tahoma" w:cs="Tahoma"/>
          <w:sz w:val="18"/>
          <w:szCs w:val="18"/>
          <w:lang w:val="hr-HR"/>
        </w:rPr>
        <w:t>у односу на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201</w:t>
      </w:r>
      <w:r w:rsidRPr="00BC381E">
        <w:rPr>
          <w:rFonts w:ascii="Tahoma" w:hAnsi="Tahoma" w:cs="Tahoma"/>
          <w:sz w:val="18"/>
          <w:szCs w:val="18"/>
          <w:lang w:val="sr-Cyrl-CS"/>
        </w:rPr>
        <w:t>2</w:t>
      </w:r>
      <w:r w:rsidRPr="00BC381E">
        <w:rPr>
          <w:rFonts w:ascii="Tahoma" w:hAnsi="Tahoma" w:cs="Tahoma"/>
          <w:sz w:val="18"/>
          <w:szCs w:val="18"/>
          <w:lang w:val="hr-HR"/>
        </w:rPr>
        <w:t>.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0,5%</w:t>
      </w:r>
      <w:r w:rsidRPr="00BC381E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у односу на август 2011. године више су за </w:t>
      </w:r>
      <w:r w:rsidRPr="00BC381E">
        <w:rPr>
          <w:rFonts w:ascii="Tahoma" w:hAnsi="Tahoma" w:cs="Tahoma"/>
          <w:sz w:val="18"/>
          <w:szCs w:val="18"/>
          <w:lang w:val="sr-Latn-CS"/>
        </w:rPr>
        <w:t>0,</w:t>
      </w:r>
      <w:r w:rsidRPr="00BC381E">
        <w:rPr>
          <w:rFonts w:ascii="Tahoma" w:hAnsi="Tahoma" w:cs="Tahoma"/>
          <w:sz w:val="18"/>
          <w:szCs w:val="18"/>
          <w:lang w:val="sr-Cyrl-CS"/>
        </w:rPr>
        <w:t>6% и у односу на децембар 2011. године више су за 1,0%.</w:t>
      </w:r>
    </w:p>
    <w:p w:rsidR="00D37E00" w:rsidRPr="00BC381E" w:rsidRDefault="00D37E00" w:rsidP="00494DDB">
      <w:pPr>
        <w:ind w:right="68"/>
        <w:jc w:val="both"/>
        <w:rPr>
          <w:rFonts w:ascii="Tahoma" w:hAnsi="Tahoma" w:cs="Tahoma"/>
          <w:sz w:val="18"/>
          <w:szCs w:val="18"/>
        </w:rPr>
      </w:pPr>
    </w:p>
    <w:p w:rsidR="003A790D" w:rsidRPr="00BC381E" w:rsidRDefault="00D37E00" w:rsidP="003A790D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hr-HR"/>
        </w:rPr>
        <w:t>Посматрано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C381E">
        <w:rPr>
          <w:rFonts w:ascii="Tahoma" w:hAnsi="Tahoma" w:cs="Tahoma"/>
          <w:sz w:val="18"/>
          <w:szCs w:val="18"/>
          <w:lang w:val="hr-HR"/>
        </w:rPr>
        <w:t>о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BC381E">
        <w:rPr>
          <w:rFonts w:ascii="Tahoma" w:hAnsi="Tahoma" w:cs="Tahoma"/>
          <w:sz w:val="18"/>
          <w:szCs w:val="18"/>
          <w:lang w:val="hr-HR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августу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Pr="00BC381E">
        <w:rPr>
          <w:rFonts w:ascii="Tahoma" w:hAnsi="Tahoma" w:cs="Tahoma"/>
          <w:sz w:val="18"/>
          <w:szCs w:val="18"/>
          <w:lang w:val="sr-Cyrl-CS"/>
        </w:rPr>
        <w:t>12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C381E">
        <w:rPr>
          <w:rFonts w:ascii="Tahoma" w:hAnsi="Tahoma" w:cs="Tahoma"/>
          <w:sz w:val="18"/>
          <w:szCs w:val="18"/>
          <w:lang w:val="hr-HR"/>
        </w:rPr>
        <w:t>у односу на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201</w:t>
      </w:r>
      <w:r w:rsidRPr="00BC381E">
        <w:rPr>
          <w:rFonts w:ascii="Tahoma" w:hAnsi="Tahoma" w:cs="Tahoma"/>
          <w:sz w:val="18"/>
          <w:szCs w:val="18"/>
          <w:lang w:val="sr-Cyrl-CS"/>
        </w:rPr>
        <w:t>2. године цијене интермедијарних производа у просјеку</w:t>
      </w:r>
      <w:r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су више</w:t>
      </w:r>
      <w:r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за</w:t>
      </w:r>
      <w:r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1,0</w:t>
      </w:r>
      <w:r w:rsidRPr="00BC381E">
        <w:rPr>
          <w:rFonts w:ascii="Tahoma" w:hAnsi="Tahoma" w:cs="Tahoma"/>
          <w:sz w:val="18"/>
          <w:szCs w:val="18"/>
          <w:lang w:val="sr-Latn-CS"/>
        </w:rPr>
        <w:t>%</w:t>
      </w:r>
      <w:r w:rsidRPr="00BC381E">
        <w:rPr>
          <w:rFonts w:ascii="Tahoma" w:hAnsi="Tahoma" w:cs="Tahoma"/>
          <w:sz w:val="18"/>
          <w:szCs w:val="18"/>
          <w:lang w:val="sr-Cyrl-CS"/>
        </w:rPr>
        <w:t>, цијене енергије за 0,3%, цијене нетрајних производа за широку потрошњу за 0,2% док су цијене капиталних прозвода као и цијене трајних производа за широку потрошњу у просјеку остале на истом нивоу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BC381E" w:rsidRDefault="00AC084B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92C59" w:rsidRPr="00BC381E" w:rsidRDefault="005E0301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561B13" w:rsidRPr="00BC381E">
        <w:rPr>
          <w:rFonts w:ascii="Tahoma" w:hAnsi="Tahoma" w:cs="Tahoma"/>
          <w:sz w:val="18"/>
          <w:szCs w:val="18"/>
          <w:lang w:val="sr-Cyrl-CS"/>
        </w:rPr>
        <w:t>енергије</w:t>
      </w:r>
      <w:r w:rsidRPr="00BC381E">
        <w:rPr>
          <w:rFonts w:ascii="Tahoma" w:hAnsi="Tahoma" w:cs="Tahoma"/>
          <w:sz w:val="18"/>
          <w:szCs w:val="18"/>
          <w:lang w:val="sr-Cyrl-CS"/>
        </w:rPr>
        <w:t>, п</w:t>
      </w:r>
      <w:r w:rsidRPr="00BC381E">
        <w:rPr>
          <w:rFonts w:ascii="Tahoma" w:hAnsi="Tahoma" w:cs="Tahoma"/>
          <w:sz w:val="18"/>
          <w:szCs w:val="18"/>
          <w:lang w:val="hr-HR"/>
        </w:rPr>
        <w:t>осматрано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C381E">
        <w:rPr>
          <w:rFonts w:ascii="Tahoma" w:hAnsi="Tahoma" w:cs="Tahoma"/>
          <w:sz w:val="18"/>
          <w:szCs w:val="18"/>
          <w:lang w:val="hr-HR"/>
        </w:rPr>
        <w:t>о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="00561B13" w:rsidRPr="00BC381E">
        <w:rPr>
          <w:rFonts w:ascii="Tahoma" w:hAnsi="Tahoma" w:cs="Tahoma"/>
          <w:sz w:val="18"/>
          <w:szCs w:val="18"/>
          <w:lang w:val="sr-Cyrl-CS"/>
        </w:rPr>
        <w:t>12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C381E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август</w:t>
      </w:r>
      <w:r w:rsidR="00561B13" w:rsidRPr="00BC381E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BC381E">
        <w:rPr>
          <w:rFonts w:ascii="Tahoma" w:hAnsi="Tahoma" w:cs="Tahoma"/>
          <w:sz w:val="18"/>
          <w:szCs w:val="18"/>
          <w:lang w:val="sr-Cyrl-CS"/>
        </w:rPr>
        <w:t>г</w:t>
      </w:r>
      <w:r w:rsidRPr="00BC381E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BC381E">
        <w:rPr>
          <w:rFonts w:ascii="Tahoma" w:hAnsi="Tahoma" w:cs="Tahoma"/>
          <w:sz w:val="18"/>
          <w:szCs w:val="18"/>
          <w:lang w:val="sr-Cyrl-CS"/>
        </w:rPr>
        <w:t>,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су више</w:t>
      </w:r>
      <w:r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2C2F32" w:rsidRPr="00BC381E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0,9</w:t>
      </w:r>
      <w:r w:rsidRPr="00BC381E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5235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>цијене нетрајних про</w:t>
      </w:r>
      <w:r w:rsidR="000F0FB0" w:rsidRPr="00BC381E">
        <w:rPr>
          <w:rFonts w:ascii="Tahoma" w:hAnsi="Tahoma" w:cs="Tahoma"/>
          <w:sz w:val="18"/>
          <w:szCs w:val="18"/>
          <w:lang w:val="sr-Cyrl-CS"/>
        </w:rPr>
        <w:t xml:space="preserve">извода за широку </w:t>
      </w:r>
      <w:r w:rsidR="004A4813" w:rsidRPr="00BC381E">
        <w:rPr>
          <w:rFonts w:ascii="Tahoma" w:hAnsi="Tahoma" w:cs="Tahoma"/>
          <w:sz w:val="18"/>
          <w:szCs w:val="18"/>
          <w:lang w:val="sr-Cyrl-CS"/>
        </w:rPr>
        <w:t xml:space="preserve">потрошњу за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0,4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>%,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цијене интермедијарних производа</w:t>
      </w:r>
      <w:r w:rsidR="00A639F7">
        <w:rPr>
          <w:rFonts w:ascii="Tahoma" w:hAnsi="Tahoma" w:cs="Tahoma"/>
          <w:sz w:val="18"/>
          <w:szCs w:val="18"/>
          <w:lang w:val="sr-Cyrl-CS"/>
        </w:rPr>
        <w:t>,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као и 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>цијене трајних производа за широку потрошњу за 0,3%,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 xml:space="preserve">док су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цијене капиталних прозвода 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>у просјеку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ниже за 0,4%.</w:t>
      </w:r>
    </w:p>
    <w:p w:rsidR="00CB271B" w:rsidRPr="00BC381E" w:rsidRDefault="00CB271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364E1" w:rsidRPr="00BC381E" w:rsidRDefault="00F364E1" w:rsidP="00F364E1">
      <w:pPr>
        <w:ind w:right="68"/>
        <w:jc w:val="both"/>
        <w:rPr>
          <w:rFonts w:ascii="Tahoma" w:hAnsi="Tahoma" w:cs="Tahoma"/>
          <w:sz w:val="16"/>
          <w:szCs w:val="16"/>
          <w:lang w:val="sr-Cyrl-CS"/>
        </w:rPr>
      </w:pPr>
      <w:r w:rsidRPr="00BC381E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BC381E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BC381E">
        <w:rPr>
          <w:rFonts w:ascii="Tahoma" w:hAnsi="Tahoma" w:cs="Tahoma"/>
          <w:sz w:val="18"/>
          <w:szCs w:val="18"/>
          <w:lang w:val="sr-Cyrl-CS"/>
        </w:rPr>
        <w:t>PRODCOM</w:t>
      </w:r>
      <w:r w:rsidRPr="00BC381E">
        <w:rPr>
          <w:rFonts w:ascii="Tahoma" w:hAnsi="Tahoma" w:cs="Tahoma"/>
          <w:sz w:val="18"/>
          <w:szCs w:val="18"/>
          <w:lang w:val="hr-HR"/>
        </w:rPr>
        <w:t>)</w:t>
      </w:r>
      <w:r w:rsidRPr="00BC381E">
        <w:rPr>
          <w:rFonts w:ascii="Tahoma" w:hAnsi="Tahoma" w:cs="Tahoma"/>
          <w:sz w:val="18"/>
          <w:szCs w:val="18"/>
          <w:lang w:val="sr-Cyrl-CS"/>
        </w:rPr>
        <w:t>,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BC381E">
        <w:rPr>
          <w:rFonts w:ascii="Tahoma" w:hAnsi="Tahoma" w:cs="Tahoma"/>
          <w:sz w:val="18"/>
          <w:szCs w:val="18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BC381E">
        <w:rPr>
          <w:rFonts w:ascii="Tahoma" w:hAnsi="Tahoma" w:cs="Tahoma"/>
          <w:sz w:val="18"/>
          <w:szCs w:val="18"/>
          <w:lang w:val="hr-HR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августу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Pr="00BC381E">
        <w:rPr>
          <w:rFonts w:ascii="Tahoma" w:hAnsi="Tahoma" w:cs="Tahoma"/>
          <w:sz w:val="18"/>
          <w:szCs w:val="18"/>
          <w:lang w:val="sr-Cyrl-CS"/>
        </w:rPr>
        <w:t>12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C381E">
        <w:rPr>
          <w:rFonts w:ascii="Tahoma" w:hAnsi="Tahoma" w:cs="Tahoma"/>
          <w:sz w:val="18"/>
          <w:szCs w:val="18"/>
          <w:lang w:val="sr-Cyrl-CS"/>
        </w:rPr>
        <w:t>године у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BC381E">
        <w:rPr>
          <w:rFonts w:ascii="Tahoma" w:hAnsi="Tahoma" w:cs="Tahoma"/>
          <w:sz w:val="18"/>
          <w:szCs w:val="18"/>
          <w:lang w:val="sr-Cyrl-CS"/>
        </w:rPr>
        <w:t>2</w:t>
      </w:r>
      <w:r w:rsidRPr="00BC381E">
        <w:rPr>
          <w:rFonts w:ascii="Tahoma" w:hAnsi="Tahoma" w:cs="Tahoma"/>
          <w:sz w:val="18"/>
          <w:szCs w:val="18"/>
          <w:lang w:val="hr-HR"/>
        </w:rPr>
        <w:t>.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1,1%, цијене подручја (Д) прерађивачка индустрија за 0,7%, док су цијене подручја (Е)  производња и снабдијевање електричном енергијом, гасом и водом у просјеку остале на истом нивоу</w:t>
      </w:r>
      <w:r w:rsidRPr="00BC381E">
        <w:rPr>
          <w:rFonts w:ascii="Tahoma" w:hAnsi="Tahoma" w:cs="Tahoma"/>
          <w:sz w:val="16"/>
          <w:szCs w:val="16"/>
          <w:lang w:val="sr-Cyrl-CS"/>
        </w:rPr>
        <w:t>.</w:t>
      </w:r>
    </w:p>
    <w:p w:rsidR="0071221A" w:rsidRPr="00BC381E" w:rsidRDefault="0071221A" w:rsidP="00F364E1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C381E" w:rsidRPr="00DE24B3" w:rsidRDefault="005E0301" w:rsidP="00DE24B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bs-Cyrl-BA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августу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="0071221A" w:rsidRPr="00BC381E">
        <w:rPr>
          <w:rFonts w:ascii="Tahoma" w:hAnsi="Tahoma" w:cs="Tahoma"/>
          <w:sz w:val="18"/>
          <w:szCs w:val="18"/>
          <w:lang w:val="sr-Cyrl-CS"/>
        </w:rPr>
        <w:t>12</w:t>
      </w:r>
      <w:r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BC381E">
        <w:rPr>
          <w:rFonts w:ascii="Tahoma" w:hAnsi="Tahoma" w:cs="Tahoma"/>
          <w:sz w:val="18"/>
          <w:szCs w:val="18"/>
          <w:lang w:val="sr-Cyrl-CS"/>
        </w:rPr>
        <w:t>г</w:t>
      </w:r>
      <w:r w:rsidRPr="00BC381E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BC381E">
        <w:rPr>
          <w:rFonts w:ascii="Tahoma" w:hAnsi="Tahoma" w:cs="Tahoma"/>
          <w:sz w:val="18"/>
          <w:szCs w:val="18"/>
          <w:lang w:val="sr-Cyrl-CS"/>
        </w:rPr>
        <w:t>,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август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hr-HR"/>
        </w:rPr>
        <w:t>20</w:t>
      </w:r>
      <w:r w:rsidR="0071221A" w:rsidRPr="00BC381E">
        <w:rPr>
          <w:rFonts w:ascii="Tahoma" w:hAnsi="Tahoma" w:cs="Tahoma"/>
          <w:sz w:val="18"/>
          <w:szCs w:val="18"/>
          <w:lang w:val="sr-Cyrl-CS"/>
        </w:rPr>
        <w:t>11</w:t>
      </w:r>
      <w:r w:rsidRPr="00BC381E">
        <w:rPr>
          <w:rFonts w:ascii="Tahoma" w:hAnsi="Tahoma" w:cs="Tahoma"/>
          <w:sz w:val="18"/>
          <w:szCs w:val="18"/>
          <w:lang w:val="hr-HR"/>
        </w:rPr>
        <w:t>.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BC381E">
        <w:rPr>
          <w:rFonts w:ascii="Tahoma" w:hAnsi="Tahoma" w:cs="Tahoma"/>
          <w:sz w:val="18"/>
          <w:szCs w:val="18"/>
        </w:rPr>
        <w:t>j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F364E1" w:rsidRPr="00BC381E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F445C9" w:rsidRPr="00BC381E">
        <w:rPr>
          <w:rFonts w:ascii="Tahoma" w:hAnsi="Tahoma" w:cs="Tahoma"/>
          <w:sz w:val="18"/>
          <w:szCs w:val="18"/>
          <w:lang w:val="sr-Cyrl-CS"/>
        </w:rPr>
        <w:t xml:space="preserve">  у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просјеку су више за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0,6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310650" w:rsidRPr="00BC381E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као и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подручја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="00310650" w:rsidRPr="00BC381E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више су 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>за 0,5%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lang w:val="sr-Cyrl-CS"/>
        </w:rPr>
      </w:pPr>
      <w:r w:rsidRPr="00DE24B3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DE24B3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DE24B3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DE24B3">
        <w:rPr>
          <w:rFonts w:ascii="Tahoma" w:hAnsi="Tahoma" w:cs="Tahoma"/>
          <w:b/>
          <w:spacing w:val="-4"/>
          <w:sz w:val="28"/>
          <w:szCs w:val="28"/>
        </w:rPr>
        <w:t>VIII</w:t>
      </w:r>
      <w:r w:rsidRPr="00DE24B3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DE24B3">
        <w:rPr>
          <w:rFonts w:ascii="Tahoma" w:hAnsi="Tahoma" w:cs="Tahoma"/>
          <w:b/>
          <w:bCs/>
          <w:sz w:val="24"/>
          <w:szCs w:val="24"/>
        </w:rPr>
        <w:sym w:font="Symbol" w:char="F0C6"/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Pr="00DE24B3">
        <w:rPr>
          <w:rFonts w:ascii="Tahoma" w:hAnsi="Tahoma" w:cs="Tahoma"/>
          <w:b/>
          <w:bCs/>
          <w:spacing w:val="-4"/>
          <w:sz w:val="28"/>
          <w:szCs w:val="28"/>
        </w:rPr>
        <w:t>4</w:t>
      </w:r>
      <w:r w:rsidRPr="00DE24B3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Pr="00DE24B3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Pr="00DE24B3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DE24B3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DE24B3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DE24B3">
        <w:rPr>
          <w:rFonts w:ascii="Tahoma" w:hAnsi="Tahoma" w:cs="Tahoma"/>
          <w:sz w:val="24"/>
          <w:szCs w:val="24"/>
          <w:lang w:val="sr-Cyrl-CS"/>
        </w:rPr>
        <w:t>V</w:t>
      </w:r>
      <w:r w:rsidRPr="00DE24B3">
        <w:rPr>
          <w:rFonts w:ascii="Tahoma" w:hAnsi="Tahoma" w:cs="Tahoma"/>
          <w:sz w:val="24"/>
          <w:szCs w:val="24"/>
        </w:rPr>
        <w:t>III</w:t>
      </w:r>
      <w:r w:rsidRPr="00DE24B3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DE24B3">
        <w:rPr>
          <w:rFonts w:ascii="Tahoma" w:hAnsi="Tahoma" w:cs="Tahoma"/>
          <w:sz w:val="24"/>
          <w:szCs w:val="24"/>
          <w:lang w:val="sr-Cyrl-CS"/>
        </w:rPr>
        <w:t>12</w:t>
      </w:r>
      <w:r w:rsidRPr="00DE24B3">
        <w:rPr>
          <w:rFonts w:ascii="Tahoma" w:hAnsi="Tahoma" w:cs="Tahoma"/>
          <w:sz w:val="24"/>
          <w:szCs w:val="24"/>
          <w:lang w:val="sr-Latn-BA"/>
        </w:rPr>
        <w:t>/</w:t>
      </w:r>
      <w:r w:rsidRPr="00DE24B3">
        <w:rPr>
          <w:rFonts w:ascii="Tahoma" w:hAnsi="Tahoma" w:cs="Tahoma"/>
          <w:bCs/>
          <w:sz w:val="24"/>
          <w:szCs w:val="24"/>
        </w:rPr>
        <w:sym w:font="Symbol" w:char="F0C6"/>
      </w:r>
      <w:r w:rsidRPr="00DE24B3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DE24B3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DE24B3">
        <w:rPr>
          <w:rFonts w:ascii="Tahoma" w:hAnsi="Tahoma" w:cs="Tahoma"/>
          <w:bCs/>
          <w:sz w:val="24"/>
          <w:szCs w:val="24"/>
          <w:lang w:val="hr-HR"/>
        </w:rPr>
        <w:t>)</w:t>
      </w:r>
      <w:r w:rsidRPr="00DE24B3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DE24B3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DE24B3">
        <w:rPr>
          <w:rFonts w:ascii="Tahoma" w:hAnsi="Tahoma" w:cs="Tahoma"/>
          <w:sz w:val="24"/>
          <w:szCs w:val="24"/>
          <w:lang w:val="sr-Cyrl-CS"/>
        </w:rPr>
        <w:t>0</w:t>
      </w:r>
      <w:r w:rsidRPr="00DE24B3">
        <w:rPr>
          <w:rFonts w:ascii="Tahoma" w:hAnsi="Tahoma" w:cs="Tahoma"/>
          <w:sz w:val="24"/>
          <w:szCs w:val="24"/>
          <w:lang w:val="sr-Cyrl-BA"/>
        </w:rPr>
        <w:t>,9</w:t>
      </w:r>
      <w:r w:rsidRPr="00DE24B3">
        <w:rPr>
          <w:rFonts w:ascii="Tahoma" w:hAnsi="Tahoma" w:cs="Tahoma"/>
          <w:sz w:val="24"/>
          <w:szCs w:val="24"/>
          <w:lang w:val="ru-RU"/>
        </w:rPr>
        <w:t>%</w:t>
      </w: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lang w:val="sr-Latn-CS"/>
        </w:rPr>
      </w:pPr>
    </w:p>
    <w:p w:rsidR="00DE24B3" w:rsidRPr="00DE24B3" w:rsidRDefault="00DE24B3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E24B3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DE24B3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DE24B3">
        <w:rPr>
          <w:rFonts w:ascii="Tahoma" w:hAnsi="Tahoma" w:cs="Tahoma"/>
          <w:sz w:val="18"/>
          <w:szCs w:val="18"/>
          <w:lang w:val="sr-Cyrl-CS"/>
        </w:rPr>
        <w:t>августу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просјечну мјесечну производњу из 2011. године мања је за 4,8%, у односу на исти мјесец прошле године мања је за 7,9%, док је у односу на претходни мјесец текуће године </w:t>
      </w:r>
      <w:r w:rsidRPr="00DE24B3">
        <w:rPr>
          <w:rFonts w:ascii="Tahoma" w:hAnsi="Tahoma" w:cs="Tahoma"/>
          <w:sz w:val="18"/>
          <w:szCs w:val="18"/>
          <w:lang w:val="sr-Cyrl-BA"/>
        </w:rPr>
        <w:t>већа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за 3,9%.</w:t>
      </w:r>
    </w:p>
    <w:p w:rsidR="00DE24B3" w:rsidRPr="00DE24B3" w:rsidRDefault="00DE24B3" w:rsidP="00DE24B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E24B3">
        <w:rPr>
          <w:rFonts w:ascii="Tahoma" w:hAnsi="Tahoma" w:cs="Tahoma"/>
          <w:sz w:val="18"/>
          <w:szCs w:val="18"/>
          <w:lang w:val="sr-Cyrl-BA"/>
        </w:rPr>
        <w:t>Индустријска произв</w:t>
      </w:r>
      <w:r w:rsidR="000827D7">
        <w:rPr>
          <w:rFonts w:ascii="Tahoma" w:hAnsi="Tahoma" w:cs="Tahoma"/>
          <w:sz w:val="18"/>
          <w:szCs w:val="18"/>
          <w:lang w:val="sr-Cyrl-BA"/>
        </w:rPr>
        <w:t>одња остварена у периоду јануар−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август 2012. године у односу на исти период </w:t>
      </w:r>
      <w:r w:rsidRPr="00DE24B3">
        <w:rPr>
          <w:rFonts w:ascii="Tahoma" w:hAnsi="Tahoma" w:cs="Tahoma"/>
          <w:sz w:val="18"/>
          <w:szCs w:val="18"/>
          <w:lang w:val="ru-RU"/>
        </w:rPr>
        <w:t>прошле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 године мања је за 5,9%. У истом периоду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DE24B3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забиљежена је негативна стопа промјене 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од 3,6%,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E24B3">
        <w:rPr>
          <w:rFonts w:ascii="Tahoma" w:hAnsi="Tahoma" w:cs="Tahoma"/>
          <w:sz w:val="18"/>
          <w:szCs w:val="18"/>
          <w:lang w:val="ru-RU"/>
        </w:rPr>
        <w:t>подручју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E24B3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sr-Cyrl-CS"/>
        </w:rPr>
        <w:t>негативна стопа промјене од 5,6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DE24B3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негативна </w:t>
      </w:r>
      <w:r w:rsidRPr="00DE24B3">
        <w:rPr>
          <w:rFonts w:ascii="Tahoma" w:hAnsi="Tahoma" w:cs="Tahoma"/>
          <w:sz w:val="18"/>
          <w:szCs w:val="18"/>
          <w:lang w:val="sr-Cyrl-BA"/>
        </w:rPr>
        <w:t>стопа промјене од 7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,3%. </w:t>
      </w:r>
    </w:p>
    <w:p w:rsidR="00DE24B3" w:rsidRPr="00DE24B3" w:rsidRDefault="00DE24B3" w:rsidP="00DE24B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E24B3">
        <w:rPr>
          <w:rFonts w:ascii="Tahoma" w:hAnsi="Tahoma" w:cs="Tahoma"/>
          <w:sz w:val="18"/>
          <w:szCs w:val="18"/>
          <w:lang w:val="ru-RU"/>
        </w:rPr>
        <w:t>Посматрано по економској намјени индустриј</w:t>
      </w:r>
      <w:r w:rsidR="000827D7">
        <w:rPr>
          <w:rFonts w:ascii="Tahoma" w:hAnsi="Tahoma" w:cs="Tahoma"/>
          <w:sz w:val="18"/>
          <w:szCs w:val="18"/>
          <w:lang w:val="ru-RU"/>
        </w:rPr>
        <w:t>ских производа у периоду јануар–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август 2012. године у односу на исти период прошле године забиљежена је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DE24B3">
        <w:rPr>
          <w:rFonts w:ascii="Tahoma" w:hAnsi="Tahoma" w:cs="Tahoma"/>
          <w:sz w:val="18"/>
          <w:szCs w:val="18"/>
          <w:lang w:val="ru-RU"/>
        </w:rPr>
        <w:t>трајних производа од 1,9%, нетрајних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од 5,9%, </w:t>
      </w:r>
      <w:r w:rsidRPr="00DE24B3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од 6,8% и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енергије од 7,2%, </w:t>
      </w:r>
      <w:r w:rsidRPr="00DE24B3">
        <w:rPr>
          <w:rFonts w:ascii="Tahoma" w:hAnsi="Tahoma" w:cs="Tahoma"/>
          <w:sz w:val="18"/>
          <w:szCs w:val="18"/>
          <w:lang w:val="sr-Cyrl-BA"/>
        </w:rPr>
        <w:t>док је код капиталних производа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DE24B3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DE24B3">
        <w:rPr>
          <w:rFonts w:ascii="Tahoma" w:hAnsi="Tahoma" w:cs="Tahoma"/>
          <w:sz w:val="18"/>
          <w:szCs w:val="18"/>
          <w:lang w:val="ru-RU"/>
        </w:rPr>
        <w:t>од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9,9</w:t>
      </w:r>
      <w:r w:rsidRPr="00DE24B3">
        <w:rPr>
          <w:rFonts w:ascii="Tahoma" w:hAnsi="Tahoma" w:cs="Tahoma"/>
          <w:sz w:val="18"/>
          <w:szCs w:val="18"/>
          <w:lang w:val="sr-Cyrl-BA"/>
        </w:rPr>
        <w:t>%.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DE24B3" w:rsidRPr="00DE24B3" w:rsidRDefault="00DE24B3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E24B3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DE24B3">
        <w:rPr>
          <w:rFonts w:ascii="Tahoma" w:hAnsi="Tahoma" w:cs="Tahoma"/>
          <w:sz w:val="18"/>
          <w:szCs w:val="18"/>
          <w:lang w:val="sr-Cyrl-CS"/>
        </w:rPr>
        <w:t>августу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E24B3">
        <w:rPr>
          <w:rFonts w:ascii="Tahoma" w:hAnsi="Tahoma" w:cs="Tahoma"/>
          <w:sz w:val="18"/>
          <w:szCs w:val="18"/>
          <w:lang w:val="ru-RU"/>
        </w:rPr>
        <w:t>односу на јул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године мањи је за 0,2%.</w:t>
      </w:r>
    </w:p>
    <w:p w:rsidR="00DE24B3" w:rsidRPr="00DE24B3" w:rsidRDefault="00DE24B3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E24B3" w:rsidRPr="00DE24B3" w:rsidRDefault="00DE24B3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E24B3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="000827D7">
        <w:rPr>
          <w:rFonts w:ascii="Tahoma" w:hAnsi="Tahoma" w:cs="Tahoma"/>
          <w:sz w:val="18"/>
          <w:szCs w:val="18"/>
          <w:lang w:val="ru-RU"/>
        </w:rPr>
        <w:t>периоду јануар−</w:t>
      </w:r>
      <w:r w:rsidRPr="00DE24B3">
        <w:rPr>
          <w:rFonts w:ascii="Tahoma" w:hAnsi="Tahoma" w:cs="Tahoma"/>
          <w:sz w:val="18"/>
          <w:szCs w:val="18"/>
          <w:lang w:val="ru-RU"/>
        </w:rPr>
        <w:t>август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1,7%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, при чему је у подручју </w:t>
      </w:r>
      <w:r w:rsidRPr="00DE24B3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 забиљежен пад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sr-Cyrl-CS"/>
        </w:rPr>
        <w:t>од 1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,5% и у подручју </w:t>
      </w:r>
      <w:r w:rsidRPr="00DE24B3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пад од 2,0%, док је </w:t>
      </w:r>
      <w:r w:rsidRPr="00DE24B3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DE24B3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E24B3">
        <w:rPr>
          <w:rFonts w:ascii="Tahoma" w:hAnsi="Tahoma" w:cs="Tahoma"/>
          <w:sz w:val="18"/>
          <w:szCs w:val="18"/>
          <w:lang w:val="sr-Cyrl-CS"/>
        </w:rPr>
        <w:t>забиљежен раст броја запослених од 0,6</w:t>
      </w:r>
      <w:r w:rsidRPr="00DE24B3">
        <w:rPr>
          <w:rFonts w:ascii="Tahoma" w:hAnsi="Tahoma" w:cs="Tahoma"/>
          <w:sz w:val="18"/>
          <w:szCs w:val="18"/>
          <w:lang w:val="ru-RU"/>
        </w:rPr>
        <w:t>%.</w:t>
      </w: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5875BA" w:rsidRPr="00BC381E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BC381E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BC381E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BC381E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BC381E">
        <w:rPr>
          <w:rFonts w:ascii="Tahoma" w:hAnsi="Tahoma" w:cs="Tahoma"/>
          <w:b/>
          <w:sz w:val="28"/>
          <w:szCs w:val="28"/>
        </w:rPr>
        <w:t>I</w:t>
      </w:r>
      <w:r w:rsidRPr="00BC381E">
        <w:rPr>
          <w:rFonts w:ascii="Tahoma" w:hAnsi="Tahoma" w:cs="Tahoma"/>
          <w:b/>
          <w:sz w:val="28"/>
          <w:szCs w:val="28"/>
          <w:lang w:val="ru-RU"/>
        </w:rPr>
        <w:t>–</w:t>
      </w:r>
      <w:r w:rsidRPr="00BC381E">
        <w:rPr>
          <w:rFonts w:ascii="Tahoma" w:hAnsi="Tahoma" w:cs="Tahoma"/>
          <w:b/>
          <w:sz w:val="28"/>
          <w:szCs w:val="28"/>
        </w:rPr>
        <w:t>V</w:t>
      </w:r>
      <w:r w:rsidR="00912CA0" w:rsidRPr="00BC381E">
        <w:rPr>
          <w:rFonts w:ascii="Tahoma" w:hAnsi="Tahoma" w:cs="Tahoma"/>
          <w:b/>
          <w:sz w:val="28"/>
          <w:szCs w:val="28"/>
        </w:rPr>
        <w:t>I</w:t>
      </w:r>
      <w:r w:rsidR="004A5E5F" w:rsidRPr="00BC381E">
        <w:rPr>
          <w:rFonts w:ascii="Tahoma" w:hAnsi="Tahoma" w:cs="Tahoma"/>
          <w:b/>
          <w:sz w:val="28"/>
          <w:szCs w:val="28"/>
        </w:rPr>
        <w:t>I</w:t>
      </w:r>
      <w:r w:rsidR="00F32240" w:rsidRPr="00BC381E">
        <w:rPr>
          <w:rFonts w:ascii="Tahoma" w:hAnsi="Tahoma" w:cs="Tahoma"/>
          <w:b/>
          <w:sz w:val="28"/>
          <w:szCs w:val="28"/>
        </w:rPr>
        <w:t>I</w:t>
      </w:r>
      <w:r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C381E">
        <w:rPr>
          <w:rFonts w:ascii="Tahoma" w:hAnsi="Tahoma" w:cs="Tahoma"/>
          <w:b/>
          <w:sz w:val="28"/>
          <w:szCs w:val="28"/>
          <w:lang w:val="ru-RU"/>
        </w:rPr>
        <w:t>201</w:t>
      </w:r>
      <w:r w:rsidRPr="00BC381E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BC381E">
        <w:rPr>
          <w:rFonts w:ascii="Tahoma" w:hAnsi="Tahoma" w:cs="Tahoma"/>
          <w:b/>
          <w:sz w:val="28"/>
          <w:szCs w:val="28"/>
          <w:lang w:val="ru-RU"/>
        </w:rPr>
        <w:t>.</w:t>
      </w:r>
      <w:r w:rsidRPr="00BC381E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C381E">
        <w:rPr>
          <w:rFonts w:ascii="Tahoma" w:hAnsi="Tahoma" w:cs="Tahoma"/>
          <w:b/>
          <w:sz w:val="28"/>
          <w:szCs w:val="28"/>
          <w:lang w:val="hr-HR"/>
        </w:rPr>
        <w:t>5</w:t>
      </w:r>
      <w:r w:rsidR="004A5E5F" w:rsidRPr="00BC381E">
        <w:rPr>
          <w:rFonts w:ascii="Tahoma" w:hAnsi="Tahoma" w:cs="Tahoma"/>
          <w:b/>
          <w:sz w:val="28"/>
          <w:szCs w:val="28"/>
          <w:lang w:val="sr-Cyrl-BA"/>
        </w:rPr>
        <w:t>3</w:t>
      </w:r>
      <w:r w:rsidRPr="00BC381E">
        <w:rPr>
          <w:rFonts w:ascii="Tahoma" w:hAnsi="Tahoma" w:cs="Tahoma"/>
          <w:b/>
          <w:sz w:val="28"/>
          <w:szCs w:val="28"/>
          <w:lang w:val="ru-RU"/>
        </w:rPr>
        <w:t>,</w:t>
      </w:r>
      <w:r w:rsidR="004A5E5F" w:rsidRPr="00BC381E">
        <w:rPr>
          <w:rFonts w:ascii="Tahoma" w:hAnsi="Tahoma" w:cs="Tahoma"/>
          <w:b/>
          <w:sz w:val="28"/>
          <w:szCs w:val="28"/>
          <w:lang w:val="ru-RU"/>
        </w:rPr>
        <w:t>1</w:t>
      </w:r>
      <w:r w:rsidRPr="00BC381E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BC381E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BC381E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BC381E">
        <w:rPr>
          <w:rFonts w:ascii="Tahoma" w:hAnsi="Tahoma" w:cs="Tahoma"/>
          <w:sz w:val="24"/>
          <w:szCs w:val="24"/>
          <w:lang w:val="hr-HR"/>
        </w:rPr>
        <w:t>(I-V</w:t>
      </w:r>
      <w:r w:rsidR="00912CA0" w:rsidRPr="00BC381E">
        <w:rPr>
          <w:rFonts w:ascii="Tahoma" w:hAnsi="Tahoma" w:cs="Tahoma"/>
          <w:sz w:val="24"/>
          <w:szCs w:val="24"/>
          <w:lang w:val="hr-HR"/>
        </w:rPr>
        <w:t>I</w:t>
      </w:r>
      <w:r w:rsidR="004A5E5F" w:rsidRPr="00BC381E">
        <w:rPr>
          <w:rFonts w:ascii="Tahoma" w:hAnsi="Tahoma" w:cs="Tahoma"/>
          <w:sz w:val="24"/>
          <w:szCs w:val="24"/>
          <w:lang w:val="hr-HR"/>
        </w:rPr>
        <w:t>I</w:t>
      </w:r>
      <w:r w:rsidR="00F32240" w:rsidRPr="00BC381E">
        <w:rPr>
          <w:rFonts w:ascii="Tahoma" w:hAnsi="Tahoma" w:cs="Tahoma"/>
          <w:sz w:val="24"/>
          <w:szCs w:val="24"/>
          <w:lang w:val="hr-HR"/>
        </w:rPr>
        <w:t>I</w:t>
      </w:r>
      <w:r w:rsidRPr="00BC381E">
        <w:rPr>
          <w:rFonts w:ascii="Tahoma" w:hAnsi="Tahoma" w:cs="Tahoma"/>
          <w:sz w:val="24"/>
          <w:szCs w:val="24"/>
          <w:lang w:val="hr-HR"/>
        </w:rPr>
        <w:t xml:space="preserve"> 2012/I-V</w:t>
      </w:r>
      <w:r w:rsidR="00912CA0" w:rsidRPr="00BC381E">
        <w:rPr>
          <w:rFonts w:ascii="Tahoma" w:hAnsi="Tahoma" w:cs="Tahoma"/>
          <w:sz w:val="24"/>
          <w:szCs w:val="24"/>
          <w:lang w:val="hr-HR"/>
        </w:rPr>
        <w:t>I</w:t>
      </w:r>
      <w:r w:rsidR="004A5E5F" w:rsidRPr="00BC381E">
        <w:rPr>
          <w:rFonts w:ascii="Tahoma" w:hAnsi="Tahoma" w:cs="Tahoma"/>
          <w:sz w:val="24"/>
          <w:szCs w:val="24"/>
          <w:lang w:val="hr-HR"/>
        </w:rPr>
        <w:t>I</w:t>
      </w:r>
      <w:r w:rsidR="00F32240" w:rsidRPr="00BC381E">
        <w:rPr>
          <w:rFonts w:ascii="Tahoma" w:hAnsi="Tahoma" w:cs="Tahoma"/>
          <w:sz w:val="24"/>
          <w:szCs w:val="24"/>
          <w:lang w:val="hr-HR"/>
        </w:rPr>
        <w:t>I</w:t>
      </w:r>
      <w:r w:rsidRPr="00BC381E">
        <w:rPr>
          <w:rFonts w:ascii="Tahoma" w:hAnsi="Tahoma" w:cs="Tahoma"/>
          <w:sz w:val="24"/>
          <w:szCs w:val="24"/>
          <w:lang w:val="hr-HR"/>
        </w:rPr>
        <w:t xml:space="preserve"> 2011</w:t>
      </w:r>
      <w:r w:rsidRPr="00BC381E">
        <w:rPr>
          <w:rFonts w:ascii="Tahoma" w:hAnsi="Tahoma" w:cs="Tahoma"/>
          <w:sz w:val="24"/>
          <w:szCs w:val="24"/>
          <w:lang w:val="sr-Cyrl-CS"/>
        </w:rPr>
        <w:t>.</w:t>
      </w:r>
      <w:r w:rsidRPr="00BC381E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BC381E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="004A5E5F" w:rsidRPr="00BC381E">
        <w:rPr>
          <w:rFonts w:ascii="Tahoma" w:hAnsi="Tahoma" w:cs="Tahoma"/>
          <w:sz w:val="24"/>
          <w:szCs w:val="24"/>
          <w:lang w:val="sr-Cyrl-BA"/>
        </w:rPr>
        <w:t>4</w:t>
      </w:r>
      <w:r w:rsidRPr="00BC381E">
        <w:rPr>
          <w:rFonts w:ascii="Tahoma" w:hAnsi="Tahoma" w:cs="Tahoma"/>
          <w:sz w:val="24"/>
          <w:szCs w:val="24"/>
          <w:lang w:val="ru-RU"/>
        </w:rPr>
        <w:t>,</w:t>
      </w:r>
      <w:r w:rsidR="004A5E5F" w:rsidRPr="00BC381E">
        <w:rPr>
          <w:rFonts w:ascii="Tahoma" w:hAnsi="Tahoma" w:cs="Tahoma"/>
          <w:sz w:val="24"/>
          <w:szCs w:val="24"/>
          <w:lang w:val="ru-RU"/>
        </w:rPr>
        <w:t>8</w:t>
      </w:r>
      <w:r w:rsidRPr="00BC381E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BC381E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875BA" w:rsidRPr="00BC381E" w:rsidRDefault="00CD01B8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августу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2012. године, остварен је извоз у вриједности 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184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мили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>она КМ и увоз у вриједности од 4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09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милион</w:t>
      </w:r>
      <w:r w:rsidR="00BC381E" w:rsidRPr="00BC381E">
        <w:rPr>
          <w:rFonts w:ascii="Tahoma" w:hAnsi="Tahoma" w:cs="Tahoma"/>
          <w:sz w:val="18"/>
          <w:szCs w:val="18"/>
          <w:lang w:val="sr-Cyrl-BA"/>
        </w:rPr>
        <w:t>а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КМ.</w:t>
      </w:r>
    </w:p>
    <w:p w:rsidR="00A50796" w:rsidRPr="00BC381E" w:rsidRDefault="00A5079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875BA" w:rsidRPr="00BC381E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BC381E">
        <w:rPr>
          <w:rFonts w:ascii="Tahoma" w:hAnsi="Tahoma" w:cs="Tahoma"/>
          <w:sz w:val="18"/>
          <w:szCs w:val="18"/>
          <w:lang w:val="bs-Cyrl-BA"/>
        </w:rPr>
        <w:t>е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BC381E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августу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ове године, проценат покривен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>ости увоза извозом износио је 45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>1</w:t>
      </w:r>
      <w:r w:rsidR="00745C5B" w:rsidRPr="00BC381E">
        <w:rPr>
          <w:rFonts w:ascii="Tahoma" w:hAnsi="Tahoma" w:cs="Tahoma"/>
          <w:sz w:val="18"/>
          <w:szCs w:val="18"/>
          <w:lang w:val="sr-Cyrl-BA"/>
        </w:rPr>
        <w:t>%.</w:t>
      </w:r>
    </w:p>
    <w:p w:rsidR="00324BBA" w:rsidRPr="00BC381E" w:rsidRDefault="00324BB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5875BA" w:rsidRPr="00BC381E" w:rsidRDefault="00BC381E" w:rsidP="005875BA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C381E">
        <w:rPr>
          <w:rFonts w:ascii="Tahoma" w:hAnsi="Tahoma" w:cs="Tahoma"/>
          <w:sz w:val="18"/>
          <w:szCs w:val="18"/>
          <w:lang w:val="ru-RU"/>
        </w:rPr>
        <w:t>У периоду јануар–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август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2012. године остварен је извоз у вриједности од </w:t>
      </w:r>
      <w:r w:rsidR="006B4063" w:rsidRPr="00BC381E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583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милиона КМ, што је за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4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,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8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% мање у односу на исти период претходне године. Увоз је, у истом периоду, износио </w:t>
      </w:r>
      <w:r w:rsidR="007A12CE" w:rsidRPr="00BC381E">
        <w:rPr>
          <w:rFonts w:ascii="Tahoma" w:hAnsi="Tahoma" w:cs="Tahoma"/>
          <w:sz w:val="18"/>
          <w:szCs w:val="18"/>
          <w:lang w:val="ru-RU"/>
        </w:rPr>
        <w:t>2 милијарде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981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милион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КМ, што је за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2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,</w:t>
      </w:r>
      <w:r w:rsidR="00207950" w:rsidRPr="00BC381E">
        <w:rPr>
          <w:rFonts w:ascii="Tahoma" w:hAnsi="Tahoma" w:cs="Tahoma"/>
          <w:sz w:val="18"/>
          <w:szCs w:val="18"/>
          <w:lang w:val="ru-RU"/>
        </w:rPr>
        <w:t>5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% више у односу на исти период претходне године.</w:t>
      </w:r>
    </w:p>
    <w:p w:rsidR="007F456D" w:rsidRPr="00BC381E" w:rsidRDefault="007F456D" w:rsidP="00094E6E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875BA" w:rsidRPr="00BC381E" w:rsidRDefault="005875BA" w:rsidP="005875BA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C381E">
        <w:rPr>
          <w:rFonts w:ascii="Tahoma" w:hAnsi="Tahoma" w:cs="Tahoma"/>
          <w:sz w:val="18"/>
          <w:szCs w:val="18"/>
          <w:lang w:val="ru-RU"/>
        </w:rPr>
        <w:t>Проценат покрив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ености увоза извозом за првих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осам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мје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>сеци текуће године износио је 5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3</w:t>
      </w:r>
      <w:r w:rsidRPr="00BC381E">
        <w:rPr>
          <w:rFonts w:ascii="Tahoma" w:hAnsi="Tahoma" w:cs="Tahoma"/>
          <w:sz w:val="18"/>
          <w:szCs w:val="18"/>
          <w:lang w:val="ru-RU"/>
        </w:rPr>
        <w:t>,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1</w:t>
      </w:r>
      <w:r w:rsidRPr="00BC381E">
        <w:rPr>
          <w:rFonts w:ascii="Tahoma" w:hAnsi="Tahoma" w:cs="Tahoma"/>
          <w:sz w:val="18"/>
          <w:szCs w:val="18"/>
          <w:lang w:val="ru-RU"/>
        </w:rPr>
        <w:t>%, док је спољнотрговински ро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бни дефицит износио </w:t>
      </w:r>
      <w:r w:rsidR="00A27234" w:rsidRPr="00BC381E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398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милиона КМ.</w:t>
      </w:r>
    </w:p>
    <w:p w:rsidR="00E053E5" w:rsidRPr="00BC381E" w:rsidRDefault="00E053E5" w:rsidP="00094E6E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875BA" w:rsidRPr="00BC381E" w:rsidRDefault="005875BA" w:rsidP="005875BA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BC381E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BC381E">
        <w:rPr>
          <w:rFonts w:ascii="Tahoma" w:hAnsi="Tahoma" w:cs="Tahoma"/>
          <w:szCs w:val="18"/>
        </w:rPr>
        <w:t>e</w:t>
      </w:r>
      <w:r w:rsidRPr="00BC381E">
        <w:rPr>
          <w:rFonts w:ascii="Tahoma" w:hAnsi="Tahoma" w:cs="Tahoma"/>
          <w:szCs w:val="18"/>
          <w:lang w:val="ru-RU"/>
        </w:rPr>
        <w:t xml:space="preserve"> Српск</w:t>
      </w:r>
      <w:r w:rsidRPr="00BC381E">
        <w:rPr>
          <w:rFonts w:ascii="Tahoma" w:hAnsi="Tahoma" w:cs="Tahoma"/>
          <w:szCs w:val="18"/>
        </w:rPr>
        <w:t>e</w:t>
      </w:r>
      <w:r w:rsidRPr="00BC381E">
        <w:rPr>
          <w:rFonts w:ascii="Tahoma" w:hAnsi="Tahoma" w:cs="Tahoma"/>
          <w:szCs w:val="18"/>
          <w:lang w:val="ru-RU"/>
        </w:rPr>
        <w:t xml:space="preserve"> са инос</w:t>
      </w:r>
      <w:r w:rsidR="00A05303" w:rsidRPr="00BC381E">
        <w:rPr>
          <w:rFonts w:ascii="Tahoma" w:hAnsi="Tahoma" w:cs="Tahoma"/>
          <w:szCs w:val="18"/>
          <w:lang w:val="ru-RU"/>
        </w:rPr>
        <w:t xml:space="preserve">транством, у периоду јануар - </w:t>
      </w:r>
      <w:r w:rsidR="000631AE" w:rsidRPr="00BC381E">
        <w:rPr>
          <w:rFonts w:ascii="Tahoma" w:hAnsi="Tahoma" w:cs="Tahoma"/>
          <w:szCs w:val="18"/>
          <w:lang w:val="ru-RU"/>
        </w:rPr>
        <w:t>август</w:t>
      </w:r>
      <w:r w:rsidRPr="00BC381E">
        <w:rPr>
          <w:rFonts w:ascii="Tahoma" w:hAnsi="Tahoma" w:cs="Tahoma"/>
          <w:szCs w:val="18"/>
          <w:lang w:val="ru-RU"/>
        </w:rPr>
        <w:t xml:space="preserve"> </w:t>
      </w:r>
      <w:r w:rsidRPr="00BC381E">
        <w:rPr>
          <w:rFonts w:ascii="Tahoma" w:hAnsi="Tahoma" w:cs="Tahoma"/>
          <w:szCs w:val="18"/>
          <w:lang w:val="sr-Cyrl-CS"/>
        </w:rPr>
        <w:t xml:space="preserve">2012. године, највише се извозило у </w:t>
      </w:r>
      <w:r w:rsidR="0070735C" w:rsidRPr="00BC381E">
        <w:rPr>
          <w:rFonts w:ascii="Tahoma" w:hAnsi="Tahoma" w:cs="Tahoma"/>
          <w:szCs w:val="18"/>
          <w:lang w:val="sr-Cyrl-CS"/>
        </w:rPr>
        <w:t xml:space="preserve">Србију </w:t>
      </w:r>
      <w:r w:rsidR="00A05303" w:rsidRPr="00BC381E">
        <w:rPr>
          <w:rFonts w:ascii="Tahoma" w:hAnsi="Tahoma" w:cs="Tahoma"/>
          <w:szCs w:val="18"/>
          <w:lang w:val="sr-Cyrl-CS"/>
        </w:rPr>
        <w:t xml:space="preserve">и то у вриједности од </w:t>
      </w:r>
      <w:r w:rsidR="00A27234" w:rsidRPr="00BC381E">
        <w:rPr>
          <w:rFonts w:ascii="Tahoma" w:hAnsi="Tahoma" w:cs="Tahoma"/>
          <w:szCs w:val="18"/>
          <w:lang w:val="sr-Cyrl-CS"/>
        </w:rPr>
        <w:t>2</w:t>
      </w:r>
      <w:r w:rsidR="0070735C" w:rsidRPr="00BC381E">
        <w:rPr>
          <w:rFonts w:ascii="Tahoma" w:hAnsi="Tahoma" w:cs="Tahoma"/>
          <w:szCs w:val="18"/>
          <w:lang w:val="sr-Cyrl-CS"/>
        </w:rPr>
        <w:t>50</w:t>
      </w:r>
      <w:r w:rsidRPr="00BC381E">
        <w:rPr>
          <w:rFonts w:ascii="Tahoma" w:hAnsi="Tahoma" w:cs="Tahoma"/>
          <w:szCs w:val="18"/>
          <w:lang w:val="sr-Cyrl-CS"/>
        </w:rPr>
        <w:t xml:space="preserve"> милиона КМ, односно 1</w:t>
      </w:r>
      <w:r w:rsidR="00A05303" w:rsidRPr="00BC381E">
        <w:rPr>
          <w:rFonts w:ascii="Tahoma" w:hAnsi="Tahoma" w:cs="Tahoma"/>
          <w:szCs w:val="18"/>
          <w:lang w:val="sr-Cyrl-CS"/>
        </w:rPr>
        <w:t>5</w:t>
      </w:r>
      <w:r w:rsidRPr="00BC381E">
        <w:rPr>
          <w:rFonts w:ascii="Tahoma" w:hAnsi="Tahoma" w:cs="Tahoma"/>
          <w:szCs w:val="18"/>
          <w:lang w:val="sr-Cyrl-CS"/>
        </w:rPr>
        <w:t>,</w:t>
      </w:r>
      <w:r w:rsidR="0070735C" w:rsidRPr="00BC381E">
        <w:rPr>
          <w:rFonts w:ascii="Tahoma" w:hAnsi="Tahoma" w:cs="Tahoma"/>
          <w:szCs w:val="18"/>
          <w:lang w:val="sr-Cyrl-CS"/>
        </w:rPr>
        <w:t>8</w:t>
      </w:r>
      <w:r w:rsidRPr="00BC381E">
        <w:rPr>
          <w:rFonts w:ascii="Tahoma" w:hAnsi="Tahoma" w:cs="Tahoma"/>
          <w:szCs w:val="18"/>
          <w:lang w:val="sr-Cyrl-CS"/>
        </w:rPr>
        <w:t>%</w:t>
      </w:r>
      <w:r w:rsidRPr="00BC381E">
        <w:rPr>
          <w:rFonts w:ascii="Tahoma" w:hAnsi="Tahoma" w:cs="Tahoma"/>
          <w:szCs w:val="18"/>
          <w:lang w:val="ru-RU"/>
        </w:rPr>
        <w:t xml:space="preserve">, </w:t>
      </w:r>
      <w:r w:rsidRPr="00BC381E">
        <w:rPr>
          <w:rFonts w:ascii="Tahoma" w:hAnsi="Tahoma" w:cs="Tahoma"/>
          <w:szCs w:val="18"/>
          <w:lang w:val="sr-Cyrl-CS"/>
        </w:rPr>
        <w:t>те у</w:t>
      </w:r>
      <w:r w:rsidR="0070735C" w:rsidRPr="00BC381E">
        <w:rPr>
          <w:rFonts w:ascii="Tahoma" w:hAnsi="Tahoma" w:cs="Tahoma"/>
          <w:szCs w:val="18"/>
          <w:lang w:val="sr-Cyrl-CS"/>
        </w:rPr>
        <w:t xml:space="preserve"> Италију</w:t>
      </w:r>
      <w:r w:rsidRPr="00BC381E">
        <w:rPr>
          <w:rFonts w:ascii="Tahoma" w:hAnsi="Tahoma" w:cs="Tahoma"/>
          <w:szCs w:val="18"/>
          <w:lang w:val="sr-Cyrl-CS"/>
        </w:rPr>
        <w:t>, у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вриједности од </w:t>
      </w:r>
      <w:r w:rsidR="0070735C" w:rsidRPr="00BC381E">
        <w:rPr>
          <w:rFonts w:ascii="Tahoma" w:hAnsi="Tahoma" w:cs="Tahoma"/>
          <w:szCs w:val="18"/>
          <w:lang w:val="sr-Cyrl-CS"/>
        </w:rPr>
        <w:t>244</w:t>
      </w:r>
      <w:r w:rsidR="002F0F75" w:rsidRPr="00BC381E">
        <w:rPr>
          <w:rFonts w:ascii="Tahoma" w:hAnsi="Tahoma" w:cs="Tahoma"/>
          <w:szCs w:val="18"/>
          <w:lang w:val="sr-Cyrl-CS"/>
        </w:rPr>
        <w:t xml:space="preserve"> милиона КМ, односно 15,</w:t>
      </w:r>
      <w:r w:rsidR="0070735C" w:rsidRPr="00BC381E">
        <w:rPr>
          <w:rFonts w:ascii="Tahoma" w:hAnsi="Tahoma" w:cs="Tahoma"/>
          <w:szCs w:val="18"/>
          <w:lang w:val="sr-Cyrl-CS"/>
        </w:rPr>
        <w:t>4</w:t>
      </w:r>
      <w:r w:rsidRPr="00BC381E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17306E" w:rsidRPr="00BC381E" w:rsidRDefault="0017306E" w:rsidP="00094E6E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5875BA" w:rsidRPr="00BC381E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BC381E">
        <w:rPr>
          <w:rFonts w:ascii="Tahoma" w:hAnsi="Tahoma" w:cs="Tahoma"/>
          <w:sz w:val="18"/>
          <w:szCs w:val="18"/>
          <w:lang w:val="sr-Cyrl-BA"/>
        </w:rPr>
        <w:t>н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ајвише се увозило из Русије и то у вриједности од 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797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 xml:space="preserve"> милиона КМ, односно 2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7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504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милиона КМ, односно 1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9</w:t>
      </w:r>
      <w:r w:rsidRPr="00BC381E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17306E" w:rsidRPr="00BC381E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0C0" w:rsidRPr="00BC381E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C381E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="00CA1ABF" w:rsidRPr="00BC381E">
        <w:rPr>
          <w:rFonts w:ascii="Tahoma" w:hAnsi="Tahoma" w:cs="Tahoma"/>
          <w:bCs/>
          <w:sz w:val="18"/>
          <w:szCs w:val="18"/>
          <w:lang w:val="ru-RU"/>
        </w:rPr>
        <w:t xml:space="preserve">периоду </w:t>
      </w:r>
      <w:r w:rsidRPr="00BC381E">
        <w:rPr>
          <w:rFonts w:ascii="Tahoma" w:hAnsi="Tahoma" w:cs="Tahoma"/>
          <w:sz w:val="18"/>
          <w:szCs w:val="18"/>
          <w:lang w:val="ru-RU"/>
        </w:rPr>
        <w:t>јануар</w:t>
      </w:r>
      <w:r w:rsidR="000827D7">
        <w:rPr>
          <w:rFonts w:ascii="Tahoma" w:hAnsi="Tahoma" w:cs="Tahoma"/>
          <w:sz w:val="18"/>
          <w:szCs w:val="18"/>
          <w:lang w:val="ru-RU"/>
        </w:rPr>
        <w:t>−</w:t>
      </w:r>
      <w:r w:rsidR="0070735C" w:rsidRPr="00BC381E">
        <w:rPr>
          <w:rFonts w:ascii="Tahoma" w:hAnsi="Tahoma" w:cs="Tahoma"/>
          <w:sz w:val="18"/>
          <w:szCs w:val="18"/>
          <w:lang w:val="ru-RU"/>
        </w:rPr>
        <w:t>август</w:t>
      </w:r>
      <w:r w:rsidR="00CA1ABF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E2141A" w:rsidRPr="00BC381E">
        <w:rPr>
          <w:rFonts w:ascii="Tahoma" w:hAnsi="Tahoma" w:cs="Tahoma"/>
          <w:sz w:val="18"/>
          <w:szCs w:val="18"/>
          <w:lang w:val="sr-Cyrl-CS"/>
        </w:rPr>
        <w:t>2</w:t>
      </w:r>
      <w:r w:rsidRPr="00BC381E">
        <w:rPr>
          <w:rFonts w:ascii="Tahoma" w:hAnsi="Tahoma" w:cs="Tahoma"/>
          <w:sz w:val="18"/>
          <w:szCs w:val="18"/>
          <w:lang w:val="sr-Cyrl-CS"/>
        </w:rPr>
        <w:t>. године, највеће учешће у извозу остваруј</w:t>
      </w:r>
      <w:r w:rsidR="00B040ED" w:rsidRPr="00BC381E">
        <w:rPr>
          <w:rFonts w:ascii="Tahoma" w:hAnsi="Tahoma" w:cs="Tahoma"/>
          <w:sz w:val="18"/>
          <w:szCs w:val="18"/>
          <w:lang w:val="sr-Cyrl-CS"/>
        </w:rPr>
        <w:t>у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53E5" w:rsidRPr="00BC381E">
        <w:rPr>
          <w:rFonts w:ascii="Tahoma" w:hAnsi="Tahoma" w:cs="Tahoma"/>
          <w:sz w:val="18"/>
          <w:szCs w:val="18"/>
          <w:lang w:val="ru-RU"/>
        </w:rPr>
        <w:t>нафтна уља и уља добиј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>ена од битумен</w:t>
      </w:r>
      <w:r w:rsidR="007E7446" w:rsidRPr="00BC381E">
        <w:rPr>
          <w:rFonts w:ascii="Tahoma" w:hAnsi="Tahoma" w:cs="Tahoma"/>
          <w:sz w:val="18"/>
          <w:szCs w:val="18"/>
          <w:lang w:val="ru-RU"/>
        </w:rPr>
        <w:t>озних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="00B040ED" w:rsidRPr="00BC381E">
        <w:rPr>
          <w:rFonts w:ascii="Tahoma" w:hAnsi="Tahoma" w:cs="Tahoma"/>
          <w:sz w:val="18"/>
          <w:szCs w:val="18"/>
          <w:lang w:val="sr-Cyrl-CS"/>
        </w:rPr>
        <w:t xml:space="preserve"> (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>осим сирових</w:t>
      </w:r>
      <w:r w:rsidR="00B040ED" w:rsidRPr="00BC381E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BC381E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20</w:t>
      </w:r>
      <w:r w:rsidR="00E2141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C381E">
        <w:rPr>
          <w:rFonts w:ascii="Tahoma" w:hAnsi="Tahoma" w:cs="Tahoma"/>
          <w:sz w:val="18"/>
          <w:szCs w:val="18"/>
          <w:lang w:val="sr-Cyrl-CS"/>
        </w:rPr>
        <w:t>милиона КМ, што износи 1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3</w:t>
      </w:r>
      <w:r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9</w:t>
      </w:r>
      <w:r w:rsidRPr="00BC381E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BC381E">
        <w:rPr>
          <w:rFonts w:ascii="Tahoma" w:hAnsi="Tahoma" w:cs="Tahoma"/>
          <w:sz w:val="18"/>
          <w:szCs w:val="18"/>
          <w:lang w:val="sr-Cyrl-BA"/>
        </w:rPr>
        <w:t>н</w:t>
      </w:r>
      <w:r w:rsidRPr="00BC381E">
        <w:rPr>
          <w:rFonts w:ascii="Tahoma" w:hAnsi="Tahoma" w:cs="Tahoma"/>
          <w:sz w:val="18"/>
          <w:szCs w:val="18"/>
          <w:lang w:val="ru-RU"/>
        </w:rPr>
        <w:t>афт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уља добијена од </w:t>
      </w:r>
      <w:r w:rsidR="007E7446" w:rsidRPr="00BC381E">
        <w:rPr>
          <w:rFonts w:ascii="Tahoma" w:hAnsi="Tahoma" w:cs="Tahoma"/>
          <w:sz w:val="18"/>
          <w:szCs w:val="18"/>
          <w:lang w:val="ru-RU"/>
        </w:rPr>
        <w:t>битуменозних</w:t>
      </w:r>
      <w:r w:rsidRPr="00BC381E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BC381E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8066F8" w:rsidRPr="00BC381E">
        <w:rPr>
          <w:rFonts w:ascii="Tahoma" w:hAnsi="Tahoma" w:cs="Tahoma"/>
          <w:sz w:val="18"/>
          <w:szCs w:val="18"/>
          <w:lang w:val="sr-Cyrl-BA"/>
        </w:rPr>
        <w:t>833</w:t>
      </w:r>
      <w:r w:rsidR="00843401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D6AC0" w:rsidRPr="00BC381E">
        <w:rPr>
          <w:rFonts w:ascii="Tahoma" w:hAnsi="Tahoma" w:cs="Tahoma"/>
          <w:sz w:val="18"/>
          <w:szCs w:val="18"/>
          <w:lang w:val="sr-Cyrl-BA"/>
        </w:rPr>
        <w:t xml:space="preserve">милиона КМ, што износи </w:t>
      </w:r>
      <w:r w:rsidR="00843401" w:rsidRPr="00BC381E">
        <w:rPr>
          <w:rFonts w:ascii="Tahoma" w:hAnsi="Tahoma" w:cs="Tahoma"/>
          <w:sz w:val="18"/>
          <w:szCs w:val="18"/>
          <w:lang w:val="sr-Cyrl-BA"/>
        </w:rPr>
        <w:t>2</w:t>
      </w:r>
      <w:r w:rsidR="004C7D98" w:rsidRPr="00BC381E">
        <w:rPr>
          <w:rFonts w:ascii="Tahoma" w:hAnsi="Tahoma" w:cs="Tahoma"/>
          <w:sz w:val="18"/>
          <w:szCs w:val="18"/>
          <w:lang w:val="sr-Cyrl-BA"/>
        </w:rPr>
        <w:t>7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8066F8" w:rsidRPr="00BC381E">
        <w:rPr>
          <w:rFonts w:ascii="Tahoma" w:hAnsi="Tahoma" w:cs="Tahoma"/>
          <w:sz w:val="18"/>
          <w:szCs w:val="18"/>
          <w:lang w:val="sr-Cyrl-BA"/>
        </w:rPr>
        <w:t>9</w:t>
      </w:r>
      <w:r w:rsidRPr="00BC381E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C270C0" w:rsidRPr="00BC381E" w:rsidRDefault="00C270C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BC381E" w:rsidRDefault="0062747F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68.2pt;margin-top:3.35pt;width:61.05pt;height:19.75pt;z-index:251658240;mso-position-horizontal-relative:text;mso-position-vertical-relative:text;mso-width-relative:margin;mso-height-relative:margin" stroked="f">
            <v:textbox style="mso-next-textbox:#_x0000_s1062">
              <w:txbxContent>
                <w:p w:rsidR="00A639F7" w:rsidRPr="0078288A" w:rsidRDefault="00A639F7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AF1FE7" w:rsidRPr="00BC381E" w:rsidRDefault="0062747F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 w:rsidRPr="0062747F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57pt;margin-top:215.2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A639F7" w:rsidRPr="00843401" w:rsidRDefault="00A639F7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  <w:r w:rsidRPr="0062747F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32.05pt;margin-top:215.2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A639F7" w:rsidRPr="00843401" w:rsidRDefault="00A639F7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="008066F8" w:rsidRPr="00BC381E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5667555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301" w:rsidRPr="00BC381E" w:rsidRDefault="005E0301" w:rsidP="00094E6E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8066F8" w:rsidRPr="00BC381E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206D7" w:rsidRPr="00BC381E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28"/>
          <w:szCs w:val="28"/>
        </w:rPr>
      </w:pPr>
      <w:r w:rsidRPr="00BC381E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765234" w:rsidRPr="00BC381E">
        <w:rPr>
          <w:rFonts w:ascii="Tahoma" w:hAnsi="Tahoma" w:cs="Tahoma"/>
          <w:sz w:val="16"/>
          <w:szCs w:val="16"/>
        </w:rPr>
        <w:t>3</w:t>
      </w:r>
      <w:r w:rsidR="005E0301" w:rsidRPr="00BC381E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BC381E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BC381E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>воз по мјесецима</w:t>
      </w:r>
    </w:p>
    <w:p w:rsidR="00F94323" w:rsidRPr="00BC381E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380E95" w:rsidRPr="00BC381E" w:rsidRDefault="00380E95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DE24B3" w:rsidRPr="00DE24B3" w:rsidRDefault="000C4E02">
      <w:pPr>
        <w:rPr>
          <w:rFonts w:ascii="Tahoma" w:hAnsi="Tahoma" w:cs="Tahoma"/>
          <w:bCs/>
          <w:sz w:val="18"/>
          <w:szCs w:val="18"/>
          <w:lang w:val="sr-Cyrl-BA"/>
        </w:rPr>
      </w:pPr>
      <w:r w:rsidRPr="00BC381E">
        <w:rPr>
          <w:rFonts w:ascii="Tahoma" w:hAnsi="Tahoma" w:cs="Tahoma"/>
          <w:bCs/>
          <w:sz w:val="18"/>
          <w:szCs w:val="18"/>
          <w:lang w:val="sr-Cyrl-BA"/>
        </w:rPr>
        <w:br w:type="page"/>
      </w:r>
    </w:p>
    <w:p w:rsidR="00DE24B3" w:rsidRPr="00BC381E" w:rsidRDefault="00DE24B3">
      <w:pPr>
        <w:rPr>
          <w:rFonts w:ascii="Tahoma" w:hAnsi="Tahoma" w:cs="Tahoma"/>
          <w:bCs/>
          <w:sz w:val="18"/>
          <w:szCs w:val="18"/>
          <w:lang w:val="sr-Cyrl-BA"/>
        </w:rPr>
      </w:pPr>
    </w:p>
    <w:p w:rsidR="00DB6D76" w:rsidRPr="00BC381E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C381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C381E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010581" w:rsidRPr="00BC381E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BC381E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BC381E" w:rsidRDefault="00C02566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 w:rsidRPr="00BC381E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BC381E" w:rsidRDefault="001A6CDD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szCs w:val="16"/>
                <w:u w:val="single"/>
              </w:rPr>
              <w:t>biljana.gl</w:t>
            </w:r>
            <w:r w:rsidRPr="00BC381E">
              <w:rPr>
                <w:rFonts w:ascii="Tahoma" w:hAnsi="Tahoma" w:cs="Tahoma"/>
                <w:sz w:val="16"/>
                <w:szCs w:val="16"/>
                <w:u w:val="single"/>
                <w:lang w:val="sr-Latn-CS"/>
              </w:rPr>
              <w:t>usa</w:t>
            </w:r>
            <w:r w:rsidRPr="00BC381E">
              <w:rPr>
                <w:rFonts w:ascii="Tahoma" w:hAnsi="Tahoma" w:cs="Tahoma"/>
                <w:sz w:val="16"/>
                <w:szCs w:val="16"/>
                <w:u w:val="single"/>
              </w:rPr>
              <w:t>c@rzs.rs.ba</w:t>
            </w:r>
          </w:p>
          <w:p w:rsidR="00EF319F" w:rsidRPr="00BC381E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BC381E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Default="0062747F" w:rsidP="00DE702D">
            <w:pPr>
              <w:spacing w:after="80"/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1" w:history="1">
              <w:r w:rsidR="00BC381E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BC381E" w:rsidRDefault="0062747F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2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010581" w:rsidRPr="00BC381E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BC381E" w:rsidRDefault="008D6CFA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BC381E" w:rsidRDefault="0062747F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3" w:history="1"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BC381E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BC381E" w:rsidRDefault="00DE24B3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BC381E" w:rsidRDefault="0062747F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4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BC381E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C381E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C381E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BC381E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bCs/>
              </w:rPr>
              <w:sym w:font="Symbol" w:char="00C6"/>
            </w:r>
            <w:r w:rsidRPr="00BC381E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C381E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BC381E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C381E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C381E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C381E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C381E" w:rsidRDefault="0062747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2747F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W w:w="10703" w:type="dxa"/>
        <w:jc w:val="center"/>
        <w:tblInd w:w="-355" w:type="dxa"/>
        <w:tblLook w:val="01E0"/>
      </w:tblPr>
      <w:tblGrid>
        <w:gridCol w:w="10703"/>
      </w:tblGrid>
      <w:tr w:rsidR="008C3261" w:rsidRPr="00BC381E" w:rsidTr="00DE24B3">
        <w:trPr>
          <w:trHeight w:hRule="exact" w:val="11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C3261" w:rsidP="00DE24B3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DE24B3">
        <w:trPr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C3261" w:rsidP="00DE24B3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BC381E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BC381E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BC381E">
              <w:rPr>
                <w:rFonts w:ascii="Tahoma" w:hAnsi="Tahoma" w:cs="Tahoma"/>
                <w:sz w:val="16"/>
              </w:rPr>
              <w:t xml:space="preserve">е </w:t>
            </w:r>
            <w:r w:rsidR="00477CB9" w:rsidRPr="00BC381E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BC381E">
              <w:rPr>
                <w:rFonts w:ascii="Tahoma" w:hAnsi="Tahoma" w:cs="Tahoma"/>
                <w:sz w:val="16"/>
              </w:rPr>
              <w:t xml:space="preserve"> 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BC381E" w:rsidTr="00DE24B3">
        <w:trPr>
          <w:trHeight w:val="160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BC381E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BC381E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C381E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BC381E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BC381E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BC381E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5" w:history="1"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C381E" w:rsidRDefault="008C3261" w:rsidP="00DE24B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C381E" w:rsidRDefault="008C3261" w:rsidP="00DE24B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BC381E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BC381E" w:rsidRDefault="0062747F" w:rsidP="00094E6E">
      <w:pPr>
        <w:jc w:val="both"/>
        <w:rPr>
          <w:rFonts w:ascii="Tahoma" w:hAnsi="Tahoma" w:cs="Tahoma"/>
          <w:lang w:val="sr-Cyrl-BA"/>
        </w:rPr>
      </w:pPr>
      <w:r w:rsidRPr="0062747F">
        <w:rPr>
          <w:rFonts w:ascii="Tahoma" w:hAnsi="Tahoma" w:cs="Tahoma"/>
          <w:noProof/>
          <w:lang w:val="bs-Latn-BA" w:eastAsia="bs-Latn-BA"/>
        </w:rPr>
        <w:pict>
          <v:line id="_x0000_s1057" style="position:absolute;left:0;text-align:left;z-index:251655168;mso-position-horizontal-relative:text;mso-position-vertical-relative:text" from="-2.5pt,108.2pt" to="510.5pt,108.2pt" strokecolor="#376ea5" strokeweight="1.5pt"/>
        </w:pict>
      </w:r>
    </w:p>
    <w:p w:rsidR="00657939" w:rsidRPr="00BC381E" w:rsidRDefault="00657939" w:rsidP="00094E6E">
      <w:pPr>
        <w:jc w:val="both"/>
        <w:rPr>
          <w:rFonts w:ascii="Tahoma" w:hAnsi="Tahoma" w:cs="Tahoma"/>
          <w:lang w:val="sr-Cyrl-BA"/>
        </w:rPr>
      </w:pPr>
    </w:p>
    <w:sectPr w:rsidR="00657939" w:rsidRPr="00BC381E" w:rsidSect="005D5311">
      <w:headerReference w:type="default" r:id="rId16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7" w:rsidRDefault="00A639F7">
      <w:r>
        <w:separator/>
      </w:r>
    </w:p>
  </w:endnote>
  <w:endnote w:type="continuationSeparator" w:id="0">
    <w:p w:rsidR="00A639F7" w:rsidRDefault="00A6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7" w:rsidRDefault="00A639F7">
      <w:r>
        <w:separator/>
      </w:r>
    </w:p>
  </w:footnote>
  <w:footnote w:type="continuationSeparator" w:id="0">
    <w:p w:rsidR="00A639F7" w:rsidRDefault="00A6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A639F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639F7" w:rsidRDefault="00A639F7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A639F7" w:rsidRPr="00460A5B" w:rsidRDefault="00A639F7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639F7" w:rsidRPr="005D5311" w:rsidRDefault="00A639F7" w:rsidP="00BC381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21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септембар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639F7" w:rsidRDefault="00A639F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2747F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7D7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575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A9B"/>
    <w:rsid w:val="00164E59"/>
    <w:rsid w:val="001655F9"/>
    <w:rsid w:val="001658E6"/>
    <w:rsid w:val="001658F6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D5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EBC"/>
    <w:rsid w:val="003D4FE0"/>
    <w:rsid w:val="003D5248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1DA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018"/>
    <w:rsid w:val="005073CC"/>
    <w:rsid w:val="005076E5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5BA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47F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095"/>
    <w:rsid w:val="006C2231"/>
    <w:rsid w:val="006C33B8"/>
    <w:rsid w:val="006C343F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B00CA"/>
    <w:rsid w:val="009B04C5"/>
    <w:rsid w:val="009B06B8"/>
    <w:rsid w:val="009B0B84"/>
    <w:rsid w:val="009B0BA8"/>
    <w:rsid w:val="009B13F8"/>
    <w:rsid w:val="009B17E7"/>
    <w:rsid w:val="009B20DA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9F7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A0C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C35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6CA"/>
    <w:rsid w:val="00D76A3A"/>
    <w:rsid w:val="00D77276"/>
    <w:rsid w:val="00D77439"/>
    <w:rsid w:val="00D77913"/>
    <w:rsid w:val="00D77AAF"/>
    <w:rsid w:val="00D8008E"/>
    <w:rsid w:val="00D8084C"/>
    <w:rsid w:val="00D809FE"/>
    <w:rsid w:val="00D80D6A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4B3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02D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jana.bandur@rzs.rs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minka.milic@rzs.rs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te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avg%202012\za%20Graf%20I-VI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2"/>
          <c:w val="0.65206660337670563"/>
          <c:h val="0.74715927458220466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lll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813</c:v>
                </c:pt>
                <c:pt idx="1">
                  <c:v>807</c:v>
                </c:pt>
                <c:pt idx="2">
                  <c:v>802</c:v>
                </c:pt>
                <c:pt idx="3">
                  <c:v>813</c:v>
                </c:pt>
                <c:pt idx="4">
                  <c:v>815</c:v>
                </c:pt>
                <c:pt idx="5">
                  <c:v>819</c:v>
                </c:pt>
                <c:pt idx="6">
                  <c:v>821</c:v>
                </c:pt>
                <c:pt idx="7">
                  <c:v>814</c:v>
                </c:pt>
                <c:pt idx="8">
                  <c:v>817</c:v>
                </c:pt>
                <c:pt idx="9">
                  <c:v>826</c:v>
                </c:pt>
                <c:pt idx="10">
                  <c:v>818</c:v>
                </c:pt>
                <c:pt idx="11">
                  <c:v>823</c:v>
                </c:pt>
                <c:pt idx="12">
                  <c:v>818</c:v>
                </c:pt>
              </c:numCache>
            </c:numRef>
          </c:val>
        </c:ser>
        <c:marker val="1"/>
        <c:axId val="40036224"/>
        <c:axId val="40037760"/>
      </c:lineChart>
      <c:catAx>
        <c:axId val="40036224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0037760"/>
        <c:crosses val="autoZero"/>
        <c:lblAlgn val="ctr"/>
        <c:lblOffset val="100"/>
      </c:catAx>
      <c:valAx>
        <c:axId val="40037760"/>
        <c:scaling>
          <c:orientation val="minMax"/>
          <c:max val="85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0036224"/>
        <c:crosses val="autoZero"/>
        <c:crossBetween val="between"/>
        <c:majorUnit val="40"/>
      </c:valAx>
      <c:spPr>
        <a:ln w="3175">
          <a:noFill/>
        </a:ln>
      </c:spPr>
    </c:plotArea>
    <c:legend>
      <c:legendPos val="r"/>
      <c:layout>
        <c:manualLayout>
          <c:xMode val="edge"/>
          <c:yMode val="edge"/>
          <c:x val="0.73831303977110319"/>
          <c:y val="0.44941202591367951"/>
          <c:w val="0.24549263168677543"/>
          <c:h val="0.11728842051843222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414575597413701"/>
          <c:y val="9.3067220764071173E-2"/>
          <c:w val="0.71931917731720274"/>
          <c:h val="0.79095290172061816"/>
        </c:manualLayout>
      </c:layout>
      <c:lineChart>
        <c:grouping val="standard"/>
        <c:ser>
          <c:idx val="0"/>
          <c:order val="0"/>
          <c:tx>
            <c:strRef>
              <c:f>zaAvgust2012!$A$2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zaAvgust2012!$B$1:$N$1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zaAvgust2012!$B$2:$N$2</c:f>
              <c:numCache>
                <c:formatCode>General</c:formatCode>
                <c:ptCount val="13"/>
                <c:pt idx="0">
                  <c:v>375252</c:v>
                </c:pt>
                <c:pt idx="1">
                  <c:v>423131</c:v>
                </c:pt>
                <c:pt idx="2">
                  <c:v>395756</c:v>
                </c:pt>
                <c:pt idx="3">
                  <c:v>393355</c:v>
                </c:pt>
                <c:pt idx="4">
                  <c:v>456660</c:v>
                </c:pt>
                <c:pt idx="5">
                  <c:v>290628</c:v>
                </c:pt>
                <c:pt idx="6">
                  <c:v>242652</c:v>
                </c:pt>
                <c:pt idx="7">
                  <c:v>474051</c:v>
                </c:pt>
                <c:pt idx="8">
                  <c:v>372455</c:v>
                </c:pt>
                <c:pt idx="9">
                  <c:v>382975</c:v>
                </c:pt>
                <c:pt idx="10">
                  <c:v>381176</c:v>
                </c:pt>
                <c:pt idx="11">
                  <c:v>427964</c:v>
                </c:pt>
                <c:pt idx="12">
                  <c:v>408781</c:v>
                </c:pt>
              </c:numCache>
            </c:numRef>
          </c:val>
        </c:ser>
        <c:ser>
          <c:idx val="1"/>
          <c:order val="1"/>
          <c:tx>
            <c:strRef>
              <c:f>zaAvgust2012!$A$3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zaAvgust2012!$B$1:$N$1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zaAvgust2012!$B$3:$N$3</c:f>
              <c:numCache>
                <c:formatCode>General</c:formatCode>
                <c:ptCount val="13"/>
                <c:pt idx="0">
                  <c:v>218421</c:v>
                </c:pt>
                <c:pt idx="1">
                  <c:v>248916</c:v>
                </c:pt>
                <c:pt idx="2">
                  <c:v>220845</c:v>
                </c:pt>
                <c:pt idx="3">
                  <c:v>225498</c:v>
                </c:pt>
                <c:pt idx="4">
                  <c:v>203576</c:v>
                </c:pt>
                <c:pt idx="5">
                  <c:v>158330</c:v>
                </c:pt>
                <c:pt idx="6">
                  <c:v>161327</c:v>
                </c:pt>
                <c:pt idx="7">
                  <c:v>214070</c:v>
                </c:pt>
                <c:pt idx="8">
                  <c:v>204803</c:v>
                </c:pt>
                <c:pt idx="9">
                  <c:v>227243</c:v>
                </c:pt>
                <c:pt idx="10">
                  <c:v>214185</c:v>
                </c:pt>
                <c:pt idx="11">
                  <c:v>218575</c:v>
                </c:pt>
                <c:pt idx="12">
                  <c:v>184425</c:v>
                </c:pt>
              </c:numCache>
            </c:numRef>
          </c:val>
        </c:ser>
        <c:marker val="1"/>
        <c:axId val="40572416"/>
        <c:axId val="40573952"/>
      </c:lineChart>
      <c:catAx>
        <c:axId val="40572416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0573952"/>
        <c:crosses val="autoZero"/>
        <c:auto val="1"/>
        <c:lblAlgn val="ctr"/>
        <c:lblOffset val="100"/>
      </c:catAx>
      <c:valAx>
        <c:axId val="40573952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,##0" sourceLinked="0"/>
        <c:tickLblPos val="nextTo"/>
        <c:spPr>
          <a:ln w="6350">
            <a:solidFill>
              <a:schemeClr val="tx1"/>
            </a:solidFill>
          </a:ln>
        </c:spPr>
        <c:crossAx val="40572416"/>
        <c:crosses val="autoZero"/>
        <c:crossBetween val="between"/>
      </c:valAx>
      <c:spPr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8277290648260143"/>
          <c:y val="0.41628280839895387"/>
          <c:w val="0.11120597859217952"/>
          <c:h val="0.16743438320210158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934D-E76C-4ED3-A674-C175FE27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1746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12273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4</cp:revision>
  <cp:lastPrinted>2012-09-20T11:07:00Z</cp:lastPrinted>
  <dcterms:created xsi:type="dcterms:W3CDTF">2012-09-20T06:28:00Z</dcterms:created>
  <dcterms:modified xsi:type="dcterms:W3CDTF">2012-09-20T13:06:00Z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