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B91055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color w:val="FFCC00"/>
                <w:sz w:val="16"/>
              </w:rPr>
            </w:pP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noProof/>
                <w:color w:val="FFCC00"/>
                <w:sz w:val="16"/>
              </w:rPr>
              <w:drawing>
                <wp:inline distT="0" distB="0" distL="0" distR="0">
                  <wp:extent cx="3028950" cy="647700"/>
                  <wp:effectExtent l="19050" t="0" r="0" b="0"/>
                  <wp:docPr id="4" name="Picture 7" descr="Novi znak RZS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i znak RZS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Pr="003B0B35" w:rsidRDefault="005D5311" w:rsidP="005D400E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5D400E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31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5D400E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окто</w:t>
            </w:r>
            <w:r w:rsidR="00DB6D76" w:rsidRPr="003B0B3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бар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 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2011.]  </w:t>
            </w:r>
            <w:r w:rsidR="005D400E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10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B91055" w:rsidTr="009722E9">
        <w:trPr>
          <w:cantSplit/>
        </w:trPr>
        <w:tc>
          <w:tcPr>
            <w:tcW w:w="5385" w:type="dxa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</w:tr>
    </w:tbl>
    <w:p w:rsidR="000971CB" w:rsidRPr="008F3819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B91055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728B3" w:rsidRDefault="005D400E" w:rsidP="005D400E">
            <w:pPr>
              <w:jc w:val="center"/>
              <w:outlineLvl w:val="0"/>
              <w:rPr>
                <w:b/>
                <w:color w:val="FFFFFF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окто</w:t>
            </w:r>
            <w:r w:rsidR="00DB6D76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бар</w:t>
            </w:r>
            <w:r w:rsidR="007E158B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2011</w:t>
            </w:r>
            <w:r w:rsidR="002F5E38" w:rsidRPr="008728B3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91055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E61A6" w:rsidRDefault="008728B3" w:rsidP="008728B3">
            <w:pPr>
              <w:jc w:val="center"/>
              <w:rPr>
                <w:sz w:val="24"/>
                <w:szCs w:val="24"/>
                <w:lang w:val="sr-Cyrl-BA"/>
              </w:rPr>
            </w:pPr>
            <w:r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3612AC" w:rsidRDefault="00B07584" w:rsidP="009215D1">
      <w:pPr>
        <w:spacing w:line="360" w:lineRule="auto"/>
        <w:jc w:val="both"/>
        <w:rPr>
          <w:lang w:val="sr-Cyrl-BA"/>
        </w:rPr>
      </w:pPr>
    </w:p>
    <w:p w:rsidR="00C6324A" w:rsidRPr="00213429" w:rsidRDefault="00557617" w:rsidP="00557617">
      <w:pPr>
        <w:jc w:val="both"/>
        <w:rPr>
          <w:rFonts w:ascii="Calibri" w:hAnsi="Calibri"/>
          <w:sz w:val="18"/>
          <w:szCs w:val="18"/>
          <w:lang w:val="sr-Cyrl-CS" w:eastAsia="sr-Latn-BA"/>
        </w:rPr>
      </w:pPr>
      <w:r w:rsidRPr="00213429">
        <w:rPr>
          <w:rFonts w:ascii="Tahoma" w:hAnsi="Tahoma" w:cs="Tahoma"/>
          <w:b/>
          <w:sz w:val="28"/>
          <w:szCs w:val="28"/>
          <w:lang w:val="sr-Cyrl-CS"/>
        </w:rPr>
        <w:t>Остварене инвестиције за 2010. годину 1 446 629 000 КМ (коначни подаци)</w:t>
      </w:r>
    </w:p>
    <w:p w:rsidR="00557617" w:rsidRPr="00213429" w:rsidRDefault="00557617" w:rsidP="00557617">
      <w:pPr>
        <w:rPr>
          <w:rFonts w:ascii="Calibri" w:hAnsi="Calibri"/>
          <w:sz w:val="18"/>
          <w:szCs w:val="18"/>
          <w:lang w:val="sr-Cyrl-CS" w:eastAsia="sr-Latn-BA"/>
        </w:rPr>
      </w:pPr>
    </w:p>
    <w:tbl>
      <w:tblPr>
        <w:tblW w:w="10462" w:type="dxa"/>
        <w:jc w:val="center"/>
        <w:tblInd w:w="143" w:type="dxa"/>
        <w:tblCellMar>
          <w:left w:w="0" w:type="dxa"/>
          <w:right w:w="0" w:type="dxa"/>
        </w:tblCellMar>
        <w:tblLook w:val="0000"/>
      </w:tblPr>
      <w:tblGrid>
        <w:gridCol w:w="10462"/>
      </w:tblGrid>
      <w:tr w:rsidR="00C6324A" w:rsidRPr="00213429" w:rsidTr="008013AF">
        <w:trPr>
          <w:trHeight w:hRule="exact" w:val="113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213429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Остварене инвестиције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пословних субјеката (коначни подаци), чије је сједиште у Републици Српској су у 2010. години износиле 1 446 629 000 КМ. У структури инвестиционих улагања према дјелатности инвеститора највише учествују државна управа, одбрана и обавезно социјално осигурање са 29,2%, трговина са 14,3%, прерађивачка индустрија са 13,5% итд.</w:t>
            </w: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</w:tc>
      </w:tr>
      <w:tr w:rsidR="00C6324A" w:rsidRPr="00213429" w:rsidTr="008013AF">
        <w:trPr>
          <w:trHeight w:hRule="exact" w:val="1800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>Остварене инвестиције пословних субјеката регистрованих на територији Републике Српске у нова стална средства, према намјени инвестиција, у 2010. години износе 1 291 420 000 КМ. На територији Републике Српске уложено је            1 270 724 000 КМ (98,4%), на територији Федерације БиХ и Брчко Дистрикта БиХ 20 667 000 КМ (1,6%), док је изван територије БиХ уложено 29 000 КМ.</w:t>
            </w: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У структури инвестиционих улагања у нова стална средства на територији Републике Српске према намјени највише учествују, грађевинарство са 23,7%, трговина  са 14,8%, прерађивачка индустрија са 12,2%. </w:t>
            </w:r>
          </w:p>
        </w:tc>
      </w:tr>
    </w:tbl>
    <w:p w:rsidR="00AA6E4C" w:rsidRPr="00213429" w:rsidRDefault="0066624B" w:rsidP="003E5E54">
      <w:pPr>
        <w:rPr>
          <w:rFonts w:ascii="Tahoma" w:hAnsi="Tahoma" w:cs="Tahoma"/>
          <w:b/>
          <w:sz w:val="28"/>
          <w:szCs w:val="28"/>
          <w:lang w:val="sr-Cyrl-CS"/>
        </w:rPr>
      </w:pPr>
      <w:r w:rsidRPr="00213429">
        <w:rPr>
          <w:rFonts w:ascii="Calibri" w:hAnsi="Calibri"/>
          <w:sz w:val="18"/>
          <w:szCs w:val="18"/>
          <w:lang w:val="sr-Cyrl-CS" w:eastAsia="sr-Latn-BA"/>
        </w:rPr>
        <w:t xml:space="preserve">     </w:t>
      </w:r>
    </w:p>
    <w:p w:rsidR="005E0301" w:rsidRPr="00213429" w:rsidRDefault="00AA6E4C" w:rsidP="0020048F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</w:rPr>
      </w:pPr>
      <w:r w:rsidRPr="00213429">
        <w:rPr>
          <w:rFonts w:ascii="Tahoma" w:hAnsi="Tahoma" w:cs="Tahoma"/>
          <w:b/>
          <w:sz w:val="28"/>
          <w:szCs w:val="28"/>
          <w:lang w:val="sr-Cyrl-CS"/>
        </w:rPr>
        <w:t xml:space="preserve">  </w:t>
      </w:r>
      <w:r w:rsidR="00E324C6" w:rsidRPr="00213429">
        <w:rPr>
          <w:rFonts w:ascii="Tahoma" w:hAnsi="Tahoma" w:cs="Tahoma"/>
          <w:b/>
          <w:sz w:val="28"/>
          <w:szCs w:val="28"/>
          <w:lang w:val="sr-Cyrl-CS"/>
        </w:rPr>
        <w:t>П</w:t>
      </w:r>
      <w:r w:rsidR="00C6075B" w:rsidRPr="00213429">
        <w:rPr>
          <w:rFonts w:ascii="Tahoma" w:hAnsi="Tahoma" w:cs="Tahoma"/>
          <w:b/>
          <w:sz w:val="28"/>
          <w:szCs w:val="28"/>
          <w:lang w:val="sr-Cyrl-CS"/>
        </w:rPr>
        <w:t>росјечн</w:t>
      </w:r>
      <w:r w:rsidR="00C6075B" w:rsidRPr="00213429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C6075B" w:rsidRPr="00213429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C6075B" w:rsidRPr="00213429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1B4DFA" w:rsidRPr="00213429">
        <w:rPr>
          <w:rFonts w:ascii="Tahoma" w:hAnsi="Tahoma" w:cs="Tahoma"/>
          <w:b/>
          <w:sz w:val="28"/>
          <w:szCs w:val="28"/>
          <w:lang w:val="sr-Cyrl-CS"/>
        </w:rPr>
        <w:t>септембру</w:t>
      </w:r>
      <w:r w:rsidR="0032304A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213429">
        <w:rPr>
          <w:rFonts w:ascii="Tahoma" w:hAnsi="Tahoma" w:cs="Tahoma"/>
          <w:b/>
          <w:sz w:val="28"/>
          <w:szCs w:val="28"/>
          <w:lang w:val="sr-Cyrl-CS"/>
        </w:rPr>
        <w:t>8</w:t>
      </w:r>
      <w:r w:rsidR="001B4DFA" w:rsidRPr="00213429">
        <w:rPr>
          <w:rFonts w:ascii="Tahoma" w:hAnsi="Tahoma" w:cs="Tahoma"/>
          <w:b/>
          <w:sz w:val="28"/>
          <w:szCs w:val="28"/>
        </w:rPr>
        <w:t>07</w:t>
      </w:r>
      <w:r w:rsidR="000668D4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A727AE" w:rsidRPr="00213429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E0301" w:rsidRPr="00213429" w:rsidRDefault="005E0301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213429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213429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="00B61F72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 w:rsidRPr="00213429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213429">
        <w:rPr>
          <w:rFonts w:ascii="Tahoma" w:hAnsi="Tahoma" w:cs="Tahoma"/>
          <w:sz w:val="24"/>
          <w:szCs w:val="24"/>
          <w:lang w:val="sr-Cyrl-CS"/>
        </w:rPr>
        <w:t>2</w:t>
      </w:r>
      <w:r w:rsidR="001B4DFA" w:rsidRPr="00213429">
        <w:rPr>
          <w:rFonts w:ascii="Tahoma" w:hAnsi="Tahoma" w:cs="Tahoma"/>
          <w:sz w:val="24"/>
          <w:szCs w:val="24"/>
        </w:rPr>
        <w:t>53</w:t>
      </w:r>
      <w:r w:rsidR="00B61F72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 w:rsidRPr="00213429">
        <w:rPr>
          <w:rFonts w:ascii="Tahoma" w:hAnsi="Tahoma" w:cs="Tahoma"/>
          <w:sz w:val="24"/>
          <w:szCs w:val="24"/>
          <w:lang w:val="ru-RU"/>
        </w:rPr>
        <w:t>КМ</w:t>
      </w:r>
      <w:r w:rsidRPr="00213429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="00D36059" w:rsidRPr="00213429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="00D36059" w:rsidRPr="00213429">
        <w:rPr>
          <w:rFonts w:ascii="Tahoma" w:hAnsi="Tahoma" w:cs="Tahoma"/>
          <w:sz w:val="24"/>
          <w:szCs w:val="24"/>
          <w:lang w:val="sr-Cyrl-CS"/>
        </w:rPr>
        <w:t xml:space="preserve"> 54</w:t>
      </w:r>
      <w:r w:rsidR="001B4DFA" w:rsidRPr="00213429">
        <w:rPr>
          <w:rFonts w:ascii="Tahoma" w:hAnsi="Tahoma" w:cs="Tahoma"/>
          <w:sz w:val="24"/>
          <w:szCs w:val="24"/>
        </w:rPr>
        <w:t>2</w:t>
      </w:r>
      <w:r w:rsidR="0032304A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9EB" w:rsidRPr="00213429">
        <w:rPr>
          <w:rFonts w:ascii="Tahoma" w:hAnsi="Tahoma" w:cs="Tahoma"/>
          <w:sz w:val="24"/>
          <w:szCs w:val="24"/>
          <w:lang w:val="sr-Cyrl-CS"/>
        </w:rPr>
        <w:t>КМ</w:t>
      </w:r>
    </w:p>
    <w:p w:rsidR="005E0301" w:rsidRPr="00213429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213429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исплаћена у септембру 2011.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807 КМ</w:t>
      </w:r>
      <w:r w:rsidRPr="00213429">
        <w:rPr>
          <w:rFonts w:ascii="Tahoma" w:hAnsi="Tahoma" w:cs="Tahoma"/>
          <w:sz w:val="18"/>
          <w:szCs w:val="18"/>
          <w:lang w:val="hr-HR"/>
        </w:rPr>
        <w:t>,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213429">
        <w:rPr>
          <w:rFonts w:ascii="Tahoma" w:hAnsi="Tahoma" w:cs="Tahoma"/>
          <w:sz w:val="18"/>
          <w:szCs w:val="18"/>
          <w:lang w:val="sr-Cyrl-CS"/>
        </w:rPr>
        <w:t>росјечна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1 330 КМ. </w:t>
      </w: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У периоду јануар-септембар 2011. године просјечна нето плата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213429">
        <w:rPr>
          <w:rFonts w:ascii="Tahoma" w:hAnsi="Tahoma" w:cs="Tahoma"/>
          <w:sz w:val="18"/>
          <w:szCs w:val="18"/>
          <w:lang w:val="sr-Cyrl-BA"/>
        </w:rPr>
        <w:t>износила 809 КМ, а просјечна бруто плата 1 322 КМ.  У односу на исти период прошле године, просјечна нето плата порасла је номинално за 3,4%, али реално забиљежен је пад за 0,4%.</w:t>
      </w: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септембру 2011. године у односу на август исте године мања је номинално за 0,7% и реално за 0,9%. У односу на просјечну нето плату у 2010. години, просјечна нето плата у септембру 2011. године  већа је номинално за 3,0%, а реално мања за 0,3%. У септембру 2011. године у односу на исти мјесец прошле године просјечна нето плата номинално већа је за </w:t>
      </w:r>
      <w:r w:rsidRPr="00213429">
        <w:rPr>
          <w:rFonts w:ascii="Tahoma" w:hAnsi="Tahoma" w:cs="Tahoma"/>
          <w:sz w:val="18"/>
          <w:szCs w:val="18"/>
        </w:rPr>
        <w:t>1,7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%, а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реално мања </w:t>
      </w:r>
      <w:r w:rsidRPr="00213429">
        <w:rPr>
          <w:rFonts w:ascii="Tahoma" w:hAnsi="Tahoma" w:cs="Tahoma"/>
          <w:sz w:val="18"/>
          <w:szCs w:val="18"/>
          <w:lang w:val="sr-Cyrl-CS"/>
        </w:rPr>
        <w:t>за 2,1%.</w:t>
      </w:r>
    </w:p>
    <w:p w:rsidR="000B62D8" w:rsidRPr="00213429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13429" w:rsidRDefault="005E030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>Највиша просјечна нето плата</w:t>
      </w:r>
      <w:r w:rsidR="00C36EC5" w:rsidRPr="00213429">
        <w:rPr>
          <w:rFonts w:ascii="Tahoma" w:hAnsi="Tahoma" w:cs="Tahoma"/>
          <w:sz w:val="18"/>
          <w:szCs w:val="18"/>
          <w:lang w:val="sr-Cyrl-CS"/>
        </w:rPr>
        <w:t xml:space="preserve"> у 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септембру 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>2011. године</w:t>
      </w:r>
      <w:r w:rsidRPr="00213429">
        <w:rPr>
          <w:rFonts w:ascii="Tahoma" w:hAnsi="Tahoma" w:cs="Tahoma"/>
          <w:sz w:val="18"/>
          <w:szCs w:val="18"/>
          <w:lang w:val="sr-Cyrl-CS"/>
        </w:rPr>
        <w:t>, посматра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но по подручјима дјелатности, исплаћена је у подручју </w:t>
      </w:r>
      <w:r w:rsidRPr="00213429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и износи 1 </w:t>
      </w:r>
      <w:r w:rsidR="00351BFE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53</w:t>
      </w:r>
      <w:r w:rsidR="00C03F53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КМ, а најнижа у подручју </w:t>
      </w:r>
      <w:r w:rsidR="00351BFE" w:rsidRPr="00213429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="00351BF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5</w:t>
      </w:r>
      <w:r w:rsidR="0059781F" w:rsidRPr="00213429">
        <w:rPr>
          <w:rFonts w:ascii="Tahoma" w:hAnsi="Tahoma" w:cs="Tahoma"/>
          <w:sz w:val="18"/>
          <w:szCs w:val="18"/>
          <w:lang w:val="sr-Cyrl-CS"/>
        </w:rPr>
        <w:t>4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C36EC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КМ.</w:t>
      </w:r>
    </w:p>
    <w:p w:rsidR="0089681F" w:rsidRPr="00213429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213429" w:rsidRDefault="007B317B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 xml:space="preserve">У септембру </w:t>
      </w:r>
      <w:r w:rsidRPr="00213429">
        <w:rPr>
          <w:rFonts w:ascii="Tahoma" w:hAnsi="Tahoma" w:cs="Tahoma"/>
          <w:sz w:val="18"/>
          <w:szCs w:val="18"/>
          <w:lang w:val="ru-RU"/>
        </w:rPr>
        <w:t>2011. године, у</w:t>
      </w:r>
      <w:r w:rsidR="00BE3F1D" w:rsidRPr="00213429">
        <w:rPr>
          <w:rFonts w:ascii="Tahoma" w:hAnsi="Tahoma" w:cs="Tahoma"/>
          <w:sz w:val="18"/>
          <w:szCs w:val="18"/>
          <w:lang w:val="ru-RU"/>
        </w:rPr>
        <w:t xml:space="preserve"> односу на</w:t>
      </w:r>
      <w:r w:rsidR="004351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август</w:t>
      </w:r>
      <w:r w:rsidR="00F4528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213429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213429">
        <w:rPr>
          <w:rFonts w:ascii="Tahoma" w:hAnsi="Tahoma" w:cs="Tahoma"/>
          <w:sz w:val="18"/>
          <w:szCs w:val="18"/>
          <w:lang w:val="ru-RU"/>
        </w:rPr>
        <w:t>.</w:t>
      </w:r>
      <w:r w:rsidR="003E412B" w:rsidRPr="00213429">
        <w:rPr>
          <w:rFonts w:ascii="Tahoma" w:hAnsi="Tahoma" w:cs="Tahoma"/>
          <w:sz w:val="18"/>
          <w:szCs w:val="18"/>
          <w:lang w:val="ru-RU"/>
        </w:rPr>
        <w:t xml:space="preserve"> године, </w:t>
      </w:r>
      <w:r w:rsidR="00BE3F1D" w:rsidRPr="00213429">
        <w:rPr>
          <w:rFonts w:ascii="Tahoma" w:hAnsi="Tahoma" w:cs="Tahoma"/>
          <w:sz w:val="18"/>
          <w:szCs w:val="18"/>
          <w:lang w:val="ru-RU"/>
        </w:rPr>
        <w:t>н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ајвећи номинални раст 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 xml:space="preserve">нето 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плате забиљежен </w:t>
      </w:r>
      <w:r w:rsidR="003E412B" w:rsidRPr="00213429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у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 xml:space="preserve"> подручјима</w:t>
      </w:r>
      <w:r w:rsidR="005E0301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Пољопривреда, лов и шумарство за 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6,</w:t>
      </w:r>
      <w:r w:rsidR="00FE02AC">
        <w:rPr>
          <w:rFonts w:ascii="Tahoma" w:hAnsi="Tahoma" w:cs="Tahoma"/>
          <w:sz w:val="18"/>
          <w:szCs w:val="18"/>
        </w:rPr>
        <w:t>6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>Грађевинарство за 2,2%, Здравствени и социјални рад за 2,1%</w:t>
      </w:r>
      <w:r w:rsidR="008301FA">
        <w:rPr>
          <w:rFonts w:ascii="Tahoma" w:hAnsi="Tahoma" w:cs="Tahoma"/>
          <w:i/>
          <w:sz w:val="18"/>
          <w:szCs w:val="18"/>
        </w:rPr>
        <w:t>,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Рибарство </w:t>
      </w:r>
      <w:r w:rsidR="00FE02AC">
        <w:rPr>
          <w:rFonts w:ascii="Tahoma" w:hAnsi="Tahoma" w:cs="Tahoma"/>
          <w:i/>
          <w:sz w:val="18"/>
          <w:szCs w:val="18"/>
        </w:rPr>
        <w:t>10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%, 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Прерађивачка индустрија за </w:t>
      </w:r>
      <w:r w:rsidR="00FE02AC">
        <w:rPr>
          <w:rFonts w:ascii="Tahoma" w:hAnsi="Tahoma" w:cs="Tahoma"/>
          <w:i/>
          <w:sz w:val="18"/>
          <w:szCs w:val="18"/>
        </w:rPr>
        <w:t>2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,</w:t>
      </w:r>
      <w:r w:rsidR="00FE02AC">
        <w:rPr>
          <w:rFonts w:ascii="Tahoma" w:hAnsi="Tahoma" w:cs="Tahoma"/>
          <w:i/>
          <w:sz w:val="18"/>
          <w:szCs w:val="18"/>
        </w:rPr>
        <w:t>9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%</w:t>
      </w:r>
      <w:r w:rsidR="00FE02AC">
        <w:rPr>
          <w:rFonts w:ascii="Tahoma" w:hAnsi="Tahoma" w:cs="Tahoma"/>
          <w:i/>
          <w:sz w:val="18"/>
          <w:szCs w:val="18"/>
        </w:rPr>
        <w:t xml:space="preserve">, 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2,6%,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Пословање некретнинама, изнајмљивање и пословне дјелатности</w:t>
      </w:r>
      <w:r w:rsidR="00FE02AC" w:rsidRPr="00213429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2,</w:t>
      </w:r>
      <w:r w:rsidR="00FE02AC">
        <w:rPr>
          <w:rFonts w:ascii="Tahoma" w:hAnsi="Tahoma" w:cs="Tahoma"/>
          <w:i/>
          <w:sz w:val="18"/>
          <w:szCs w:val="18"/>
        </w:rPr>
        <w:t>6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%</w:t>
      </w:r>
      <w:r w:rsidR="00FE02AC">
        <w:rPr>
          <w:rFonts w:ascii="Tahoma" w:hAnsi="Tahoma" w:cs="Tahoma"/>
          <w:i/>
          <w:sz w:val="18"/>
          <w:szCs w:val="18"/>
        </w:rPr>
        <w:t xml:space="preserve">, 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>Производња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>и снабдијевање електричном енергијом, гасом и водом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за 2,5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и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>Финансијско посредовање за 1,5%</w:t>
      </w:r>
      <w:r w:rsidR="00FE02AC">
        <w:rPr>
          <w:rFonts w:ascii="Tahoma" w:hAnsi="Tahoma" w:cs="Tahoma"/>
          <w:i/>
          <w:sz w:val="18"/>
          <w:szCs w:val="18"/>
        </w:rPr>
        <w:t>.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</w:p>
    <w:p w:rsidR="0076086A" w:rsidRPr="00213429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60B18" w:rsidRPr="00213429" w:rsidRDefault="00460B18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266E14" w:rsidRPr="00213429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66E14" w:rsidRPr="00213429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0D69D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0D69DB">
        <w:rPr>
          <w:rFonts w:ascii="Tahoma" w:hAnsi="Tahoma" w:cs="Tahoma"/>
          <w:noProof/>
          <w:sz w:val="18"/>
          <w:szCs w:val="18"/>
          <w:lang w:val="sr-Cyrl-C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5.95pt;margin-top:.4pt;width:41.05pt;height:26.5pt;z-index:251659264;mso-width-relative:margin;mso-height-relative:margin" stroked="f">
            <v:textbox style="mso-next-textbox:#_x0000_s1063">
              <w:txbxContent>
                <w:p w:rsidR="002B0C47" w:rsidRPr="0078288A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565FA3" w:rsidRPr="0020048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0D69DB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71" type="#_x0000_t202" style="position:absolute;left:0;text-align:left;margin-left:129.3pt;margin-top:226.6pt;width:47.25pt;height:16.9pt;z-index:251663360;mso-width-relative:margin;mso-height-relative:margin" strokecolor="white [3212]">
            <v:textbox style="mso-next-textbox:#_x0000_s1071">
              <w:txbxContent>
                <w:p w:rsidR="002B0C47" w:rsidRPr="00A7790B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  <w:r w:rsidRPr="000D69DB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2" type="#_x0000_t202" style="position:absolute;left:0;text-align:left;margin-left:282.25pt;margin-top:226.6pt;width:40.65pt;height:16.9pt;z-index:251665408;mso-width-relative:margin;mso-height-relative:margin" strokecolor="white [3212]">
            <v:textbox style="mso-next-textbox:#_x0000_s1072">
              <w:txbxContent>
                <w:p w:rsidR="002B0C47" w:rsidRPr="00A7790B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="00BF2682" w:rsidRPr="00BF2682">
        <w:rPr>
          <w:noProof/>
        </w:rPr>
        <w:t xml:space="preserve"> </w:t>
      </w:r>
      <w:r w:rsidR="00BF2682" w:rsidRPr="00BF268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3657" cy="291812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FE7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F2682" w:rsidRPr="00BF2682" w:rsidRDefault="00BF2682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0048F" w:rsidRDefault="00BF2682" w:rsidP="00BF2682">
      <w:pPr>
        <w:ind w:left="-142"/>
        <w:outlineLvl w:val="0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0328B8" w:rsidRPr="0020048F">
        <w:rPr>
          <w:rFonts w:ascii="Tahoma" w:hAnsi="Tahoma" w:cs="Tahoma"/>
          <w:sz w:val="16"/>
          <w:szCs w:val="16"/>
          <w:lang w:val="sr-Cyrl-BA"/>
        </w:rPr>
        <w:t xml:space="preserve">Графикон </w:t>
      </w:r>
      <w:r w:rsidR="00CE24D5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>.</w:t>
      </w:r>
      <w:r w:rsidR="005E0301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E0301" w:rsidRPr="0020048F">
        <w:rPr>
          <w:rFonts w:ascii="Tahoma" w:hAnsi="Tahoma" w:cs="Tahoma"/>
          <w:sz w:val="16"/>
          <w:lang w:val="sr-Cyrl-CS"/>
        </w:rPr>
        <w:t>П</w:t>
      </w:r>
      <w:r w:rsidR="005E0301" w:rsidRPr="0020048F">
        <w:rPr>
          <w:rFonts w:ascii="Tahoma" w:hAnsi="Tahoma" w:cs="Tahoma"/>
          <w:sz w:val="16"/>
          <w:lang w:val="ru-RU"/>
        </w:rPr>
        <w:t>росјечн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нето плат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5E0301" w:rsidRPr="0020048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20048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20048F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120CF" w:rsidRPr="0020048F" w:rsidRDefault="000D69DB" w:rsidP="0020048F">
      <w:pPr>
        <w:jc w:val="both"/>
        <w:outlineLvl w:val="0"/>
        <w:rPr>
          <w:rFonts w:ascii="Tahoma" w:hAnsi="Tahoma" w:cs="Tahoma"/>
          <w:b/>
          <w:spacing w:val="-8"/>
          <w:sz w:val="28"/>
          <w:szCs w:val="28"/>
        </w:rPr>
      </w:pPr>
      <w:r w:rsidRPr="000D69DB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2B0C47" w:rsidRPr="00A56A4A" w:rsidRDefault="002B0C4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561A7" w:rsidRPr="00213429" w:rsidRDefault="000D69DB" w:rsidP="0020048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0D69DB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2B0C47" w:rsidRPr="00A56A4A" w:rsidRDefault="002B0C47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5D7CF8" w:rsidRPr="00213429">
        <w:rPr>
          <w:rFonts w:ascii="Tahoma" w:hAnsi="Tahoma" w:cs="Tahoma"/>
          <w:b/>
          <w:sz w:val="28"/>
          <w:szCs w:val="28"/>
          <w:lang w:val="sr-Cyrl-BA"/>
        </w:rPr>
        <w:t>септембру</w: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6869EB" w:rsidRPr="00213429">
        <w:rPr>
          <w:rFonts w:ascii="Tahoma" w:hAnsi="Tahoma" w:cs="Tahoma"/>
          <w:b/>
          <w:sz w:val="28"/>
          <w:szCs w:val="28"/>
          <w:lang w:val="sr-Cyrl-BA"/>
        </w:rPr>
        <w:t xml:space="preserve"> године 0,</w:t>
      </w:r>
      <w:r w:rsidR="005D7CF8" w:rsidRPr="00213429">
        <w:rPr>
          <w:rFonts w:ascii="Tahoma" w:hAnsi="Tahoma" w:cs="Tahoma"/>
          <w:b/>
          <w:sz w:val="28"/>
          <w:szCs w:val="28"/>
          <w:lang w:val="sr-Cyrl-BA"/>
        </w:rPr>
        <w:t>2</w:t>
      </w:r>
      <w:r w:rsidR="006869EB" w:rsidRPr="00213429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213429" w:rsidRDefault="001561A7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 w:rsidRPr="00213429">
        <w:rPr>
          <w:rFonts w:ascii="Tahoma" w:hAnsi="Tahoma" w:cs="Tahoma"/>
          <w:sz w:val="24"/>
          <w:szCs w:val="24"/>
          <w:lang w:val="sr-Cyrl-BA"/>
        </w:rPr>
        <w:t>Годишња инфлација (</w:t>
      </w:r>
      <w:r w:rsidR="00924AD7" w:rsidRPr="00213429">
        <w:rPr>
          <w:rFonts w:ascii="Tahoma" w:hAnsi="Tahoma" w:cs="Tahoma"/>
          <w:sz w:val="24"/>
          <w:szCs w:val="24"/>
        </w:rPr>
        <w:t>I</w:t>
      </w:r>
      <w:r w:rsidR="005D7CF8" w:rsidRPr="00213429">
        <w:rPr>
          <w:rFonts w:ascii="Tahoma" w:hAnsi="Tahoma" w:cs="Tahoma"/>
          <w:sz w:val="24"/>
          <w:szCs w:val="24"/>
          <w:lang w:val="sr-Cyrl-BA"/>
        </w:rPr>
        <w:t>X</w:t>
      </w:r>
      <w:r w:rsidRPr="00213429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924AD7" w:rsidRPr="00213429">
        <w:rPr>
          <w:rFonts w:ascii="Tahoma" w:hAnsi="Tahoma" w:cs="Tahoma"/>
          <w:sz w:val="24"/>
          <w:szCs w:val="24"/>
        </w:rPr>
        <w:t>I</w:t>
      </w:r>
      <w:r w:rsidR="005D7CF8" w:rsidRPr="00213429">
        <w:rPr>
          <w:rFonts w:ascii="Tahoma" w:hAnsi="Tahoma" w:cs="Tahoma"/>
          <w:sz w:val="24"/>
          <w:szCs w:val="24"/>
        </w:rPr>
        <w:t>X</w:t>
      </w:r>
      <w:r w:rsidRPr="00213429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213429">
        <w:rPr>
          <w:rFonts w:ascii="Tahoma" w:hAnsi="Tahoma" w:cs="Tahoma"/>
          <w:sz w:val="24"/>
          <w:szCs w:val="24"/>
          <w:lang w:val="sr-Cyrl-BA"/>
        </w:rPr>
        <w:t>.</w:t>
      </w:r>
      <w:r w:rsidR="00924AD7" w:rsidRPr="00213429">
        <w:rPr>
          <w:rFonts w:ascii="Tahoma" w:hAnsi="Tahoma" w:cs="Tahoma"/>
          <w:sz w:val="24"/>
          <w:szCs w:val="24"/>
          <w:lang w:val="sr-Cyrl-BA"/>
        </w:rPr>
        <w:t>) 3,</w:t>
      </w:r>
      <w:r w:rsidR="00924AD7" w:rsidRPr="00213429">
        <w:rPr>
          <w:rFonts w:ascii="Tahoma" w:hAnsi="Tahoma" w:cs="Tahoma"/>
          <w:sz w:val="24"/>
          <w:szCs w:val="24"/>
        </w:rPr>
        <w:t>9</w:t>
      </w:r>
      <w:r w:rsidRPr="00213429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213429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213429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  <w:r w:rsidRPr="00213429">
        <w:rPr>
          <w:rFonts w:ascii="Tahoma" w:hAnsi="Tahoma" w:cs="Tahoma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</w:t>
      </w:r>
      <w:proofErr w:type="spellStart"/>
      <w:r w:rsidR="005D7CF8" w:rsidRPr="00213429">
        <w:rPr>
          <w:rFonts w:ascii="Tahoma" w:hAnsi="Tahoma" w:cs="Tahoma"/>
          <w:szCs w:val="18"/>
        </w:rPr>
        <w:t>септембру</w:t>
      </w:r>
      <w:proofErr w:type="spellEnd"/>
      <w:r w:rsidR="005D7CF8" w:rsidRPr="00213429">
        <w:rPr>
          <w:rFonts w:ascii="Tahoma" w:hAnsi="Tahoma" w:cs="Tahoma"/>
          <w:szCs w:val="18"/>
        </w:rPr>
        <w:t xml:space="preserve"> </w:t>
      </w:r>
      <w:r w:rsidRPr="00213429">
        <w:rPr>
          <w:rFonts w:ascii="Tahoma" w:hAnsi="Tahoma" w:cs="Tahoma"/>
          <w:szCs w:val="18"/>
          <w:lang w:val="sr-Cyrl-BA"/>
        </w:rPr>
        <w:t xml:space="preserve">2011. године у односу на </w:t>
      </w:r>
      <w:r w:rsidR="005D7CF8" w:rsidRPr="00213429">
        <w:rPr>
          <w:rFonts w:ascii="Tahoma" w:hAnsi="Tahoma" w:cs="Tahoma"/>
          <w:szCs w:val="18"/>
          <w:lang w:val="sr-Cyrl-BA"/>
        </w:rPr>
        <w:t>август</w:t>
      </w:r>
      <w:r w:rsidRPr="00213429">
        <w:rPr>
          <w:rFonts w:ascii="Tahoma" w:hAnsi="Tahoma" w:cs="Tahoma"/>
          <w:szCs w:val="18"/>
          <w:lang w:val="sr-Cyrl-BA"/>
        </w:rPr>
        <w:t xml:space="preserve"> 2011. године, у просијеку су </w:t>
      </w:r>
      <w:r w:rsidR="005D7CF8" w:rsidRPr="00213429">
        <w:rPr>
          <w:rFonts w:ascii="Tahoma" w:hAnsi="Tahoma" w:cs="Tahoma"/>
          <w:szCs w:val="18"/>
          <w:lang w:val="sr-Cyrl-BA"/>
        </w:rPr>
        <w:t>више за 0,2%</w:t>
      </w:r>
      <w:r w:rsidRPr="00213429">
        <w:rPr>
          <w:rFonts w:ascii="Tahoma" w:hAnsi="Tahoma" w:cs="Tahoma"/>
          <w:szCs w:val="18"/>
          <w:lang w:val="sr-Cyrl-BA"/>
        </w:rPr>
        <w:t>.</w:t>
      </w:r>
    </w:p>
    <w:p w:rsidR="00BF01FE" w:rsidRPr="00213429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8D6EF7" w:rsidRPr="00213429" w:rsidRDefault="008D6EF7" w:rsidP="008D6EF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Група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у оквиру одјељка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у септембру</w:t>
      </w:r>
      <w:r w:rsidRPr="00213429">
        <w:rPr>
          <w:rFonts w:ascii="Tahoma" w:eastAsia="Calibri" w:hAnsi="Tahoma" w:cs="Tahoma"/>
          <w:sz w:val="18"/>
          <w:szCs w:val="18"/>
        </w:rPr>
        <w:t xml:space="preserve"> je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забиљежила раст од 0,8%. Иако су подгрупе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Хљеб и житарице и Воће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забиљежиле пад од 0,5%, односно 0,9% то није довело до смањења групе на укупном нивоу. Највећи утицај на раст цијена у групи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имало је повећање цијена у подгрупи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Поврће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2,2%, усљед сезонског утицаја цијена  поврћа, затим повећање цијена у подгрупи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Уља и масноће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 за 2,0% због више цијене јестивог уља за 2,9%, путера 1,4%, биљне масти за 0,7% и маргарина 0,2%. Овај мјесец повећање цијена </w:t>
      </w:r>
      <w:r w:rsidR="00B16A16" w:rsidRPr="00213429">
        <w:rPr>
          <w:rFonts w:ascii="Tahoma" w:eastAsia="Calibri" w:hAnsi="Tahoma" w:cs="Tahoma"/>
          <w:sz w:val="18"/>
          <w:szCs w:val="18"/>
          <w:lang w:val="sr-Cyrl-BA"/>
        </w:rPr>
        <w:t>за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биљеж</w:t>
      </w:r>
      <w:r w:rsidR="00B16A16" w:rsidRPr="00213429">
        <w:rPr>
          <w:rFonts w:ascii="Tahoma" w:eastAsia="Calibri" w:hAnsi="Tahoma" w:cs="Tahoma"/>
          <w:sz w:val="18"/>
          <w:szCs w:val="18"/>
          <w:lang w:val="sr-Cyrl-BA"/>
        </w:rPr>
        <w:t>иле су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и под</w:t>
      </w:r>
      <w:r w:rsidR="00ED57C1" w:rsidRPr="00213429">
        <w:rPr>
          <w:rFonts w:ascii="Tahoma" w:eastAsia="Calibri" w:hAnsi="Tahoma" w:cs="Tahoma"/>
          <w:sz w:val="18"/>
          <w:szCs w:val="18"/>
          <w:lang w:val="sr-Cyrl-BA"/>
        </w:rPr>
        <w:t>група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Месо 1,2%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због поскупљења свих врста меса, осим пилетине као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и</w:t>
      </w:r>
      <w:r w:rsidR="00ED57C1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подгрупа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Млијеко сир и јаја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за 1,2% усљед повећања цијене кокошијих јаја 8,4%, подгрупа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Остали прехрамбени производи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(додатак јелима, концентрована супа, прашак за пециво, дјечија храна) 1,1%, те подгрупа Риба која биљежи раст цијена 0,9% због повећања цијене конзервисане и прерађене рибе 3,5%. Група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биљежи раст цијена 0,3% на шта је највише</w:t>
      </w:r>
      <w:r w:rsidRPr="00213429">
        <w:rPr>
          <w:rFonts w:ascii="Tahoma" w:eastAsia="Calibri" w:hAnsi="Tahoma" w:cs="Tahoma"/>
          <w:sz w:val="18"/>
          <w:szCs w:val="18"/>
        </w:rPr>
        <w:t xml:space="preserve">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утицало повећање цијена какаа за 1,9%.</w:t>
      </w:r>
    </w:p>
    <w:p w:rsidR="005F14A0" w:rsidRPr="00213429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D6EF7" w:rsidRPr="00213429" w:rsidRDefault="008D6EF7" w:rsidP="008D6EF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У септембру раст цијена забиљежен је и у одјељцима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Становање, Намјештај и покућство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Остала добра и услуге и Образовање.</w:t>
      </w:r>
    </w:p>
    <w:p w:rsidR="00E6214F" w:rsidRPr="00213429" w:rsidRDefault="00E6214F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F95157" w:rsidP="00F95157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биљежи раст 0,4% усљед повећања цијена  плина 3,8% и огревног дрвета 0,6%.</w:t>
      </w:r>
    </w:p>
    <w:p w:rsidR="00E6214F" w:rsidRPr="00213429" w:rsidRDefault="00E6214F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95157" w:rsidRPr="00213429" w:rsidRDefault="00F95157" w:rsidP="00F95157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Одјељак Намјештај и покућство биљежи раст цијена 0,2% због повећања цијена у подгрупи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Производи за чишћење и одржавање куће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0,6%. </w:t>
      </w:r>
    </w:p>
    <w:p w:rsidR="00E27853" w:rsidRPr="00213429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95157" w:rsidRPr="00213429" w:rsidRDefault="00F95157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 за 0,2%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проузроковано је повећањем цијена у подгрупи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>Накит и сатови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за 1,2% и због повећања цијена производа за одржавање личне хигијене за 0,4%.</w:t>
      </w:r>
    </w:p>
    <w:p w:rsidR="00F2773E" w:rsidRPr="00213429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F95157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Образовање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биљежи раст 0,1% због повећања цијене курса страних језика за 0,3%.</w:t>
      </w:r>
    </w:p>
    <w:p w:rsidR="00F95157" w:rsidRPr="00213429" w:rsidRDefault="00F95157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F95157" w:rsidP="00F95157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Највећи пад цијена забиљежен је у одјељку </w:t>
      </w:r>
      <w:r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Рекреација и култура 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1,1% због см</w:t>
      </w:r>
      <w:r w:rsidR="00A91CBC" w:rsidRPr="00213429">
        <w:rPr>
          <w:rFonts w:ascii="Tahoma" w:eastAsia="Calibri" w:hAnsi="Tahoma" w:cs="Tahoma"/>
          <w:sz w:val="18"/>
          <w:szCs w:val="18"/>
          <w:lang w:val="sr-Cyrl-BA"/>
        </w:rPr>
        <w:t>а</w:t>
      </w:r>
      <w:r w:rsidRPr="00213429">
        <w:rPr>
          <w:rFonts w:ascii="Tahoma" w:eastAsia="Calibri" w:hAnsi="Tahoma" w:cs="Tahoma"/>
          <w:sz w:val="18"/>
          <w:szCs w:val="18"/>
          <w:lang w:val="sr-Cyrl-BA"/>
        </w:rPr>
        <w:t>њења цијена путних аранжмана након завршетка љетне сезоне за 17,5%.</w:t>
      </w:r>
    </w:p>
    <w:p w:rsidR="00F2773E" w:rsidRPr="00213429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213429" w:rsidRDefault="001561A7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213429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септембру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213429">
        <w:rPr>
          <w:rFonts w:ascii="Tahoma" w:hAnsi="Tahoma" w:cs="Tahoma"/>
          <w:sz w:val="18"/>
          <w:szCs w:val="18"/>
          <w:lang w:val="sr-Cyrl-BA"/>
        </w:rPr>
        <w:t>године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Pr="00213429">
        <w:rPr>
          <w:rFonts w:ascii="Tahoma" w:hAnsi="Tahoma" w:cs="Tahoma"/>
          <w:sz w:val="18"/>
          <w:szCs w:val="18"/>
          <w:lang w:val="sr-Cyrl-BA"/>
        </w:rPr>
        <w:t>године,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213429">
        <w:rPr>
          <w:rFonts w:ascii="Tahoma" w:hAnsi="Tahoma" w:cs="Tahoma"/>
          <w:sz w:val="18"/>
          <w:szCs w:val="18"/>
          <w:lang w:val="sr-Cyrl-CS"/>
        </w:rPr>
        <w:t xml:space="preserve"> 3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BF01FE" w:rsidRPr="00213429">
        <w:rPr>
          <w:rFonts w:ascii="Tahoma" w:hAnsi="Tahoma" w:cs="Tahoma"/>
          <w:sz w:val="18"/>
          <w:szCs w:val="18"/>
          <w:lang w:val="sr-Cyrl-CS"/>
        </w:rPr>
        <w:t>9</w:t>
      </w:r>
      <w:r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213429" w:rsidRDefault="001561A7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lastRenderedPageBreak/>
        <w:t xml:space="preserve">Посматрано по одјељцима намјене потрошње, у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септембру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септембар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2010. године, највиши раст забиљежен је  код одјељка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10,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%, затим слиједе индекси одјељака: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3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%,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за 7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6</w:t>
      </w:r>
      <w:r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5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0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за 3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2</w:t>
      </w:r>
      <w:r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>1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за 1,1%,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3%,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="007D2F9C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B16A16" w:rsidRPr="00213429">
        <w:rPr>
          <w:rFonts w:ascii="Tahoma" w:hAnsi="Tahoma" w:cs="Tahoma"/>
          <w:sz w:val="18"/>
          <w:szCs w:val="18"/>
          <w:lang w:val="sr-Cyrl-BA"/>
        </w:rPr>
        <w:t>Индекс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одјељка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>и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нижи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 xml:space="preserve"> је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>0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213429">
        <w:rPr>
          <w:rFonts w:ascii="Tahoma" w:hAnsi="Tahoma" w:cs="Tahoma"/>
          <w:sz w:val="18"/>
          <w:szCs w:val="18"/>
          <w:lang w:val="sr-Cyrl-BA"/>
        </w:rPr>
        <w:t>6</w:t>
      </w:r>
      <w:r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213429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ндекс одјељка 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нижи је за 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4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213429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4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8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213429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213429" w:rsidRDefault="005E0301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213429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153234" w:rsidRPr="00213429">
        <w:rPr>
          <w:rFonts w:ascii="Tahoma" w:hAnsi="Tahoma" w:cs="Tahoma"/>
          <w:b/>
          <w:sz w:val="28"/>
          <w:szCs w:val="28"/>
          <w:lang w:val="sr-Cyrl-CS"/>
        </w:rPr>
        <w:t>(</w:t>
      </w:r>
      <w:r w:rsidR="00824E12" w:rsidRPr="00213429">
        <w:rPr>
          <w:rFonts w:ascii="Tahoma" w:hAnsi="Tahoma" w:cs="Tahoma"/>
          <w:b/>
          <w:sz w:val="28"/>
          <w:szCs w:val="28"/>
        </w:rPr>
        <w:t>I</w:t>
      </w:r>
      <w:r w:rsidR="00B648A4" w:rsidRPr="00213429">
        <w:rPr>
          <w:rFonts w:ascii="Tahoma" w:hAnsi="Tahoma" w:cs="Tahoma"/>
          <w:b/>
          <w:sz w:val="28"/>
          <w:szCs w:val="28"/>
        </w:rPr>
        <w:t>X</w:t>
      </w:r>
      <w:r w:rsidR="00835F0E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213429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213429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213429">
        <w:rPr>
          <w:rFonts w:ascii="Tahoma" w:hAnsi="Tahoma" w:cs="Tahoma"/>
          <w:b/>
          <w:sz w:val="28"/>
          <w:szCs w:val="28"/>
          <w:lang w:val="sr-Cyrl-CS"/>
        </w:rPr>
        <w:t>/</w:t>
      </w:r>
      <w:r w:rsidR="001B32B9" w:rsidRPr="00213429">
        <w:rPr>
          <w:rFonts w:ascii="Tahoma" w:hAnsi="Tahoma" w:cs="Tahoma"/>
          <w:b/>
          <w:sz w:val="28"/>
          <w:szCs w:val="28"/>
          <w:lang w:val="sr-Latn-CS"/>
        </w:rPr>
        <w:t>V</w:t>
      </w:r>
      <w:r w:rsidR="00FF2941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B648A4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824E12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21342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213429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213429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213429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B18BE" w:rsidRPr="00213429">
        <w:rPr>
          <w:rFonts w:ascii="Tahoma" w:hAnsi="Tahoma" w:cs="Tahoma"/>
          <w:b/>
          <w:sz w:val="28"/>
          <w:szCs w:val="28"/>
          <w:lang w:val="sr-Cyrl-CS"/>
        </w:rPr>
        <w:t xml:space="preserve">      </w:t>
      </w:r>
      <w:r w:rsidR="00690920" w:rsidRPr="00213429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B648A4" w:rsidRPr="00213429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213429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213429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213429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213429" w:rsidRDefault="001B32B9" w:rsidP="0020048F">
      <w:pPr>
        <w:jc w:val="both"/>
        <w:rPr>
          <w:rFonts w:ascii="Tahoma" w:hAnsi="Tahoma" w:cs="Tahoma"/>
          <w:lang w:val="sr-Cyrl-CS"/>
        </w:rPr>
      </w:pPr>
    </w:p>
    <w:p w:rsidR="00AC0542" w:rsidRPr="009E5669" w:rsidRDefault="00AC0542" w:rsidP="00AC0542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>Цијен</w:t>
      </w:r>
      <w:r w:rsidRPr="00213429">
        <w:rPr>
          <w:rFonts w:ascii="Tahoma" w:hAnsi="Tahoma" w:cs="Tahoma"/>
          <w:sz w:val="18"/>
          <w:szCs w:val="18"/>
        </w:rPr>
        <w:t>e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213429">
        <w:rPr>
          <w:rFonts w:ascii="Tahoma" w:hAnsi="Tahoma" w:cs="Tahoma"/>
          <w:sz w:val="18"/>
          <w:szCs w:val="18"/>
        </w:rPr>
        <w:t xml:space="preserve">a </w:t>
      </w:r>
      <w:r w:rsidRPr="00213429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у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</w:t>
      </w:r>
      <w:r w:rsidRPr="00213429">
        <w:rPr>
          <w:rFonts w:ascii="Tahoma" w:hAnsi="Tahoma" w:cs="Tahoma"/>
          <w:sz w:val="18"/>
          <w:szCs w:val="18"/>
          <w:lang w:val="sr-Cyrl-CS"/>
        </w:rPr>
        <w:t>11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213429">
        <w:rPr>
          <w:rFonts w:ascii="Tahoma" w:hAnsi="Tahoma" w:cs="Tahoma"/>
          <w:sz w:val="18"/>
          <w:szCs w:val="18"/>
          <w:lang w:val="hr-HR"/>
        </w:rPr>
        <w:t>у односу на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август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201</w:t>
      </w:r>
      <w:r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hr-HR"/>
        </w:rPr>
        <w:t>.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године у просјеку су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ниже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за 0,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sr-Cyrl-CS"/>
        </w:rPr>
        <w:t>%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, a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у односу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на септембар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г</w:t>
      </w:r>
      <w:r w:rsidRPr="00213429">
        <w:rPr>
          <w:rFonts w:ascii="Tahoma" w:hAnsi="Tahoma" w:cs="Tahoma"/>
          <w:sz w:val="18"/>
          <w:szCs w:val="18"/>
          <w:lang w:val="sr-Cyrl-CS"/>
        </w:rPr>
        <w:t>одине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више су за </w:t>
      </w:r>
      <w:r w:rsidR="009E5669" w:rsidRPr="009E5669">
        <w:rPr>
          <w:rFonts w:ascii="Tahoma" w:hAnsi="Tahoma" w:cs="Tahoma"/>
          <w:sz w:val="18"/>
          <w:szCs w:val="18"/>
          <w:lang w:val="sr-Latn-CS"/>
        </w:rPr>
        <w:t>4,1</w:t>
      </w:r>
      <w:r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AC084B" w:rsidRPr="00213429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B648A4" w:rsidRPr="00213429" w:rsidRDefault="00B648A4" w:rsidP="00B648A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hr-HR"/>
        </w:rPr>
        <w:t>Посматрано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213429">
        <w:rPr>
          <w:rFonts w:ascii="Tahoma" w:hAnsi="Tahoma" w:cs="Tahoma"/>
          <w:sz w:val="18"/>
          <w:szCs w:val="18"/>
          <w:lang w:val="hr-HR"/>
        </w:rPr>
        <w:t>о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213429">
        <w:rPr>
          <w:rFonts w:ascii="Tahoma" w:hAnsi="Tahoma" w:cs="Tahoma"/>
          <w:sz w:val="18"/>
          <w:szCs w:val="18"/>
          <w:lang w:val="hr-HR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213429">
        <w:rPr>
          <w:rFonts w:ascii="Tahoma" w:hAnsi="Tahoma" w:cs="Tahoma"/>
          <w:sz w:val="18"/>
          <w:szCs w:val="18"/>
          <w:lang w:val="hr-HR"/>
        </w:rPr>
        <w:t>20</w:t>
      </w:r>
      <w:r w:rsidRPr="00213429">
        <w:rPr>
          <w:rFonts w:ascii="Tahoma" w:hAnsi="Tahoma" w:cs="Tahoma"/>
          <w:sz w:val="18"/>
          <w:szCs w:val="18"/>
          <w:lang w:val="sr-Cyrl-CS"/>
        </w:rPr>
        <w:t>11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213429">
        <w:rPr>
          <w:rFonts w:ascii="Tahoma" w:hAnsi="Tahoma" w:cs="Tahoma"/>
          <w:sz w:val="18"/>
          <w:szCs w:val="18"/>
          <w:lang w:val="hr-HR"/>
        </w:rPr>
        <w:t>у односу на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август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201</w:t>
      </w:r>
      <w:r w:rsidRPr="00213429">
        <w:rPr>
          <w:rFonts w:ascii="Tahoma" w:hAnsi="Tahoma" w:cs="Tahoma"/>
          <w:sz w:val="18"/>
          <w:szCs w:val="18"/>
          <w:lang w:val="sr-Cyrl-CS"/>
        </w:rPr>
        <w:t>1. године цијене енергије у просјеку</w:t>
      </w:r>
      <w:r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су више</w:t>
      </w:r>
      <w:r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за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213429">
        <w:rPr>
          <w:rFonts w:ascii="Tahoma" w:hAnsi="Tahoma" w:cs="Tahoma"/>
          <w:sz w:val="18"/>
          <w:szCs w:val="18"/>
          <w:lang w:val="sr-Cyrl-CS"/>
        </w:rPr>
        <w:t>2</w:t>
      </w:r>
      <w:r w:rsidRPr="00213429">
        <w:rPr>
          <w:rFonts w:ascii="Tahoma" w:hAnsi="Tahoma" w:cs="Tahoma"/>
          <w:sz w:val="18"/>
          <w:szCs w:val="18"/>
          <w:lang w:val="sr-Latn-CS"/>
        </w:rPr>
        <w:t>%</w:t>
      </w:r>
      <w:r w:rsidRPr="00213429">
        <w:rPr>
          <w:rFonts w:ascii="Tahoma" w:hAnsi="Tahoma" w:cs="Tahoma"/>
          <w:sz w:val="18"/>
          <w:szCs w:val="18"/>
          <w:lang w:val="sr-Cyrl-CS"/>
        </w:rPr>
        <w:t>, цијене интермедијарних производа као и цијене нетрајних производа за широку потрошњу у просјеку</w:t>
      </w:r>
      <w:r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су ниже за 0,2%, док су цијене капиталних прозвода и цијене трајних производа за широку потрошњу у просјеку остале на истом нивоу.</w:t>
      </w:r>
    </w:p>
    <w:p w:rsidR="00AC084B" w:rsidRPr="00213429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13429" w:rsidRDefault="005E0301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0A5A08" w:rsidRPr="00213429">
        <w:rPr>
          <w:rFonts w:ascii="Tahoma" w:hAnsi="Tahoma" w:cs="Tahoma"/>
          <w:sz w:val="18"/>
          <w:szCs w:val="18"/>
          <w:lang w:val="sr-Cyrl-CS"/>
        </w:rPr>
        <w:t>капиталних прозвода</w:t>
      </w:r>
      <w:r w:rsidRPr="00213429">
        <w:rPr>
          <w:rFonts w:ascii="Tahoma" w:hAnsi="Tahoma" w:cs="Tahoma"/>
          <w:sz w:val="18"/>
          <w:szCs w:val="18"/>
          <w:lang w:val="sr-Cyrl-CS"/>
        </w:rPr>
        <w:t>, п</w:t>
      </w:r>
      <w:r w:rsidRPr="00213429">
        <w:rPr>
          <w:rFonts w:ascii="Tahoma" w:hAnsi="Tahoma" w:cs="Tahoma"/>
          <w:sz w:val="18"/>
          <w:szCs w:val="18"/>
          <w:lang w:val="hr-HR"/>
        </w:rPr>
        <w:t>осматрано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213429">
        <w:rPr>
          <w:rFonts w:ascii="Tahoma" w:hAnsi="Tahoma" w:cs="Tahoma"/>
          <w:sz w:val="18"/>
          <w:szCs w:val="18"/>
          <w:lang w:val="hr-HR"/>
        </w:rPr>
        <w:t>о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>11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213429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септембар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>г</w:t>
      </w:r>
      <w:r w:rsidRPr="00213429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су више</w:t>
      </w:r>
      <w:r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>за 11,5</w:t>
      </w:r>
      <w:r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128C" w:rsidRPr="00213429">
        <w:rPr>
          <w:rFonts w:ascii="Tahoma" w:hAnsi="Tahoma" w:cs="Tahoma"/>
          <w:sz w:val="18"/>
          <w:szCs w:val="18"/>
          <w:lang w:val="sr-Cyrl-CS"/>
        </w:rPr>
        <w:t>цијене нетрајних про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извода за широку потрошњу за 5,2</w:t>
      </w:r>
      <w:r w:rsidR="00A1128C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цијене енергије за 4,4</w:t>
      </w:r>
      <w:r w:rsidR="00EB7E5A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Pr="00213429">
        <w:rPr>
          <w:rFonts w:ascii="Tahoma" w:hAnsi="Tahoma" w:cs="Tahoma"/>
          <w:sz w:val="18"/>
          <w:szCs w:val="18"/>
          <w:lang w:val="sr-Cyrl-CS"/>
        </w:rPr>
        <w:t>цијене</w:t>
      </w:r>
      <w:r w:rsidR="000A5A08" w:rsidRPr="00213429">
        <w:rPr>
          <w:rFonts w:ascii="Tahoma" w:hAnsi="Tahoma" w:cs="Tahoma"/>
          <w:sz w:val="18"/>
          <w:szCs w:val="18"/>
          <w:lang w:val="sr-Cyrl-CS"/>
        </w:rPr>
        <w:t xml:space="preserve"> интермедијарних производа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за 2,9</w:t>
      </w:r>
      <w:r w:rsidRPr="00213429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док су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цијене трајних производа за широку потрошњу 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у просјеку ниже за 0,4</w:t>
      </w:r>
      <w:r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213429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0254D0" w:rsidRPr="00213429" w:rsidRDefault="000254D0" w:rsidP="000254D0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213429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213429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213429">
        <w:rPr>
          <w:rFonts w:ascii="Tahoma" w:hAnsi="Tahoma" w:cs="Tahoma"/>
          <w:sz w:val="18"/>
          <w:szCs w:val="18"/>
          <w:lang w:val="sr-Cyrl-CS"/>
        </w:rPr>
        <w:t>PRODCOM</w:t>
      </w:r>
      <w:r w:rsidRPr="00213429">
        <w:rPr>
          <w:rFonts w:ascii="Tahoma" w:hAnsi="Tahoma" w:cs="Tahoma"/>
          <w:sz w:val="18"/>
          <w:szCs w:val="18"/>
          <w:lang w:val="hr-HR"/>
        </w:rPr>
        <w:t>)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213429">
        <w:rPr>
          <w:rFonts w:ascii="Tahoma" w:hAnsi="Tahoma" w:cs="Tahoma"/>
          <w:sz w:val="18"/>
          <w:szCs w:val="18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(Ц)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213429">
        <w:rPr>
          <w:rFonts w:ascii="Tahoma" w:hAnsi="Tahoma" w:cs="Tahoma"/>
          <w:sz w:val="18"/>
          <w:szCs w:val="18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септембру </w:t>
      </w:r>
      <w:r w:rsidRPr="00213429">
        <w:rPr>
          <w:rFonts w:ascii="Tahoma" w:hAnsi="Tahoma" w:cs="Tahoma"/>
          <w:sz w:val="18"/>
          <w:szCs w:val="18"/>
          <w:lang w:val="hr-HR"/>
        </w:rPr>
        <w:t>20</w:t>
      </w:r>
      <w:r w:rsidRPr="00213429">
        <w:rPr>
          <w:rFonts w:ascii="Tahoma" w:hAnsi="Tahoma" w:cs="Tahoma"/>
          <w:sz w:val="18"/>
          <w:szCs w:val="18"/>
          <w:lang w:val="sr-Cyrl-CS"/>
        </w:rPr>
        <w:t>11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213429">
        <w:rPr>
          <w:rFonts w:ascii="Tahoma" w:hAnsi="Tahoma" w:cs="Tahoma"/>
          <w:sz w:val="18"/>
          <w:szCs w:val="18"/>
          <w:lang w:val="sr-Cyrl-CS"/>
        </w:rPr>
        <w:t>године у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август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201</w:t>
      </w:r>
      <w:r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hr-HR"/>
        </w:rPr>
        <w:t>.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</w:t>
      </w:r>
      <w:r w:rsidRPr="00213429">
        <w:rPr>
          <w:rFonts w:ascii="Tahoma" w:hAnsi="Tahoma" w:cs="Tahoma"/>
          <w:sz w:val="18"/>
          <w:szCs w:val="18"/>
          <w:lang w:val="sr-Latn-CS"/>
        </w:rPr>
        <w:t>,7</w:t>
      </w:r>
      <w:r w:rsidRPr="00213429">
        <w:rPr>
          <w:rFonts w:ascii="Tahoma" w:hAnsi="Tahoma" w:cs="Tahoma"/>
          <w:sz w:val="18"/>
          <w:szCs w:val="18"/>
          <w:lang w:val="sr-Cyrl-CS"/>
        </w:rPr>
        <w:t>%, цијене</w:t>
      </w:r>
      <w:r w:rsidRPr="00213429">
        <w:rPr>
          <w:rFonts w:ascii="Tahoma" w:hAnsi="Tahoma" w:cs="Tahoma"/>
          <w:sz w:val="18"/>
          <w:szCs w:val="18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подручја (Д) прерађивачка индустрија у просјеку су ниже </w:t>
      </w:r>
      <w:r w:rsidRPr="00213429">
        <w:rPr>
          <w:rFonts w:ascii="Tahoma" w:hAnsi="Tahoma" w:cs="Tahoma"/>
          <w:sz w:val="18"/>
          <w:szCs w:val="18"/>
          <w:lang w:val="sr-Latn-CS"/>
        </w:rPr>
        <w:t>0,</w:t>
      </w:r>
      <w:r w:rsidRPr="00213429">
        <w:rPr>
          <w:rFonts w:ascii="Tahoma" w:hAnsi="Tahoma" w:cs="Tahoma"/>
          <w:sz w:val="18"/>
          <w:szCs w:val="18"/>
          <w:lang w:val="sr-Cyrl-CS"/>
        </w:rPr>
        <w:t>3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%, </w:t>
      </w:r>
      <w:r w:rsidRPr="00213429">
        <w:rPr>
          <w:rFonts w:ascii="Tahoma" w:hAnsi="Tahoma" w:cs="Tahoma"/>
          <w:sz w:val="18"/>
          <w:szCs w:val="18"/>
          <w:lang w:val="sr-Cyrl-CS"/>
        </w:rPr>
        <w:t>док су цијене подручја (Е)  производња и снабдјевање електричном енергијом, гасом и водом у просјеку остале на истом нивоу</w:t>
      </w:r>
      <w:r w:rsidRPr="00213429">
        <w:rPr>
          <w:rFonts w:ascii="Tahoma" w:hAnsi="Tahoma" w:cs="Tahoma"/>
          <w:sz w:val="18"/>
          <w:szCs w:val="18"/>
          <w:lang w:val="sr-Latn-BA"/>
        </w:rPr>
        <w:t>.</w:t>
      </w:r>
    </w:p>
    <w:p w:rsidR="00C0614D" w:rsidRPr="00213429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213429" w:rsidRDefault="005E030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bs-Cyrl-BA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</w:t>
      </w:r>
      <w:r w:rsidR="00A507FC" w:rsidRPr="00213429">
        <w:rPr>
          <w:rFonts w:ascii="Tahoma" w:hAnsi="Tahoma" w:cs="Tahoma"/>
          <w:sz w:val="18"/>
          <w:szCs w:val="18"/>
          <w:lang w:val="sr-Cyrl-CS"/>
        </w:rPr>
        <w:t>11</w:t>
      </w:r>
      <w:r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213429">
        <w:rPr>
          <w:rFonts w:ascii="Tahoma" w:hAnsi="Tahoma" w:cs="Tahoma"/>
          <w:sz w:val="18"/>
          <w:szCs w:val="18"/>
          <w:lang w:val="sr-Cyrl-CS"/>
        </w:rPr>
        <w:t>г</w:t>
      </w:r>
      <w:r w:rsidRPr="00213429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септембар</w:t>
      </w:r>
      <w:r w:rsidR="007D156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hr-HR"/>
        </w:rPr>
        <w:t>20</w:t>
      </w:r>
      <w:r w:rsidR="00A507FC" w:rsidRPr="00213429">
        <w:rPr>
          <w:rFonts w:ascii="Tahoma" w:hAnsi="Tahoma" w:cs="Tahoma"/>
          <w:sz w:val="18"/>
          <w:szCs w:val="18"/>
          <w:lang w:val="sr-Cyrl-CS"/>
        </w:rPr>
        <w:t>10</w:t>
      </w:r>
      <w:r w:rsidRPr="00213429">
        <w:rPr>
          <w:rFonts w:ascii="Tahoma" w:hAnsi="Tahoma" w:cs="Tahoma"/>
          <w:sz w:val="18"/>
          <w:szCs w:val="18"/>
          <w:lang w:val="hr-HR"/>
        </w:rPr>
        <w:t>.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213429">
        <w:rPr>
          <w:rFonts w:ascii="Tahoma" w:hAnsi="Tahoma" w:cs="Tahoma"/>
          <w:sz w:val="18"/>
          <w:szCs w:val="18"/>
        </w:rPr>
        <w:t>j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B5460E" w:rsidRPr="00213429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F445C9" w:rsidRPr="00213429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14,6</w:t>
      </w:r>
      <w:r w:rsidRPr="00213429">
        <w:rPr>
          <w:rFonts w:ascii="Tahoma" w:hAnsi="Tahoma" w:cs="Tahoma"/>
          <w:sz w:val="18"/>
          <w:szCs w:val="18"/>
          <w:lang w:val="sr-Cyrl-CS"/>
        </w:rPr>
        <w:t>%, цијене подручја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5460E" w:rsidRPr="00213429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0254D0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за 4,3</w:t>
      </w:r>
      <w:r w:rsidR="00305B23" w:rsidRPr="00213429">
        <w:rPr>
          <w:rFonts w:ascii="Tahoma" w:hAnsi="Tahoma" w:cs="Tahoma"/>
          <w:bCs/>
          <w:sz w:val="18"/>
          <w:szCs w:val="18"/>
          <w:lang w:val="sr-Cyrl-CS"/>
        </w:rPr>
        <w:t>% и цијене подручја</w:t>
      </w:r>
      <w:r w:rsidR="00305B23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bCs/>
          <w:i/>
          <w:sz w:val="18"/>
          <w:szCs w:val="18"/>
          <w:lang w:val="sr-Cyrl-CS"/>
        </w:rPr>
        <w:t>Производња и снабдијевање електричном енергијом</w:t>
      </w:r>
      <w:r w:rsidRPr="00213429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213429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F445C9" w:rsidRPr="00213429">
        <w:rPr>
          <w:rFonts w:ascii="Tahoma" w:hAnsi="Tahoma" w:cs="Tahoma"/>
          <w:sz w:val="18"/>
          <w:szCs w:val="18"/>
          <w:lang w:val="sr-Cyrl-CS"/>
        </w:rPr>
        <w:t xml:space="preserve"> за 0,6</w:t>
      </w:r>
      <w:r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213429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213429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D400E" w:rsidRPr="00213429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213429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 w:rsidRPr="00213429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213429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E578C7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715D3A" w:rsidRPr="00213429">
        <w:rPr>
          <w:rFonts w:ascii="Tahoma" w:hAnsi="Tahoma" w:cs="Tahoma"/>
          <w:b/>
          <w:spacing w:val="-4"/>
          <w:sz w:val="28"/>
          <w:szCs w:val="28"/>
        </w:rPr>
        <w:t>I</w:t>
      </w:r>
      <w:r w:rsidR="00161921" w:rsidRPr="00213429">
        <w:rPr>
          <w:rFonts w:ascii="Tahoma" w:hAnsi="Tahoma" w:cs="Tahoma"/>
          <w:b/>
          <w:spacing w:val="-4"/>
          <w:sz w:val="28"/>
          <w:szCs w:val="28"/>
        </w:rPr>
        <w:t>X</w:t>
      </w:r>
      <w:r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213429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213429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213429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C5FA4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161921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3</w:t>
      </w:r>
      <w:r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161921"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2</w:t>
      </w:r>
      <w:r w:rsidRPr="00213429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213429" w:rsidRDefault="005E030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213429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213429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715D3A" w:rsidRPr="00213429">
        <w:rPr>
          <w:rFonts w:ascii="Tahoma" w:hAnsi="Tahoma" w:cs="Tahoma"/>
          <w:sz w:val="24"/>
          <w:szCs w:val="24"/>
        </w:rPr>
        <w:t>I</w:t>
      </w:r>
      <w:r w:rsidR="00EA3F27" w:rsidRPr="00213429">
        <w:rPr>
          <w:rFonts w:ascii="Tahoma" w:hAnsi="Tahoma" w:cs="Tahoma"/>
          <w:sz w:val="24"/>
          <w:szCs w:val="24"/>
          <w:lang w:val="sr-Cyrl-CS"/>
        </w:rPr>
        <w:t>Х</w:t>
      </w:r>
      <w:r w:rsidRPr="00213429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213429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213429">
        <w:rPr>
          <w:rFonts w:ascii="Tahoma" w:hAnsi="Tahoma" w:cs="Tahoma"/>
          <w:sz w:val="24"/>
          <w:szCs w:val="24"/>
          <w:lang w:val="sr-Cyrl-CS"/>
        </w:rPr>
        <w:t>1</w:t>
      </w:r>
      <w:r w:rsidRPr="00213429">
        <w:rPr>
          <w:rFonts w:ascii="Tahoma" w:hAnsi="Tahoma" w:cs="Tahoma"/>
          <w:sz w:val="24"/>
          <w:szCs w:val="24"/>
          <w:lang w:val="sr-Latn-BA"/>
        </w:rPr>
        <w:t>/</w:t>
      </w:r>
      <w:r w:rsidRPr="00213429">
        <w:rPr>
          <w:rFonts w:ascii="Tahoma" w:hAnsi="Tahoma" w:cs="Tahoma"/>
          <w:bCs/>
          <w:sz w:val="24"/>
          <w:szCs w:val="24"/>
        </w:rPr>
        <w:sym w:font="Symbol" w:char="F0C6"/>
      </w:r>
      <w:r w:rsidRPr="00213429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213429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213429">
        <w:rPr>
          <w:rFonts w:ascii="Tahoma" w:hAnsi="Tahoma" w:cs="Tahoma"/>
          <w:bCs/>
          <w:sz w:val="24"/>
          <w:szCs w:val="24"/>
          <w:lang w:val="ru-RU"/>
        </w:rPr>
        <w:t>1</w:t>
      </w:r>
      <w:r w:rsidRPr="00213429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213429">
        <w:rPr>
          <w:rFonts w:ascii="Tahoma" w:hAnsi="Tahoma" w:cs="Tahoma"/>
          <w:bCs/>
          <w:sz w:val="24"/>
          <w:szCs w:val="24"/>
          <w:lang w:val="ru-RU"/>
        </w:rPr>
        <w:t>.</w:t>
      </w:r>
      <w:r w:rsidRPr="00213429">
        <w:rPr>
          <w:rFonts w:ascii="Tahoma" w:hAnsi="Tahoma" w:cs="Tahoma"/>
          <w:bCs/>
          <w:sz w:val="24"/>
          <w:szCs w:val="24"/>
          <w:lang w:val="hr-HR"/>
        </w:rPr>
        <w:t>)</w:t>
      </w:r>
      <w:r w:rsidRPr="00213429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213429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="0066355A" w:rsidRPr="00213429">
        <w:rPr>
          <w:rFonts w:ascii="Tahoma" w:hAnsi="Tahoma" w:cs="Tahoma"/>
          <w:sz w:val="24"/>
          <w:szCs w:val="24"/>
          <w:lang w:val="sr-Cyrl-CS"/>
        </w:rPr>
        <w:t>2</w:t>
      </w:r>
      <w:r w:rsidRPr="00213429">
        <w:rPr>
          <w:rFonts w:ascii="Tahoma" w:hAnsi="Tahoma" w:cs="Tahoma"/>
          <w:sz w:val="24"/>
          <w:szCs w:val="24"/>
          <w:lang w:val="sr-Cyrl-BA"/>
        </w:rPr>
        <w:t>,</w:t>
      </w:r>
      <w:r w:rsidR="00EA3F27" w:rsidRPr="00213429">
        <w:rPr>
          <w:rFonts w:ascii="Tahoma" w:hAnsi="Tahoma" w:cs="Tahoma"/>
          <w:sz w:val="24"/>
          <w:szCs w:val="24"/>
          <w:lang w:val="sr-Cyrl-BA"/>
        </w:rPr>
        <w:t>3</w:t>
      </w:r>
      <w:r w:rsidRPr="00213429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213429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213429" w:rsidRDefault="005E030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b/>
          <w:sz w:val="18"/>
          <w:szCs w:val="18"/>
          <w:lang w:val="ru-RU"/>
        </w:rPr>
        <w:t>Индекс индустријске производње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остварен у 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септембру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213429">
        <w:rPr>
          <w:rFonts w:ascii="Tahoma" w:hAnsi="Tahoma" w:cs="Tahoma"/>
          <w:sz w:val="18"/>
          <w:szCs w:val="18"/>
          <w:lang w:val="ru-RU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>исти мјесец прошле године</w:t>
      </w:r>
      <w:r w:rsidR="00FD27D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213429">
        <w:rPr>
          <w:rFonts w:ascii="Tahoma" w:hAnsi="Tahoma" w:cs="Tahoma"/>
          <w:sz w:val="18"/>
          <w:szCs w:val="18"/>
          <w:lang w:val="ru-RU"/>
        </w:rPr>
        <w:t>већи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6</w:t>
      </w:r>
      <w:r w:rsidRPr="00213429">
        <w:rPr>
          <w:rFonts w:ascii="Tahoma" w:hAnsi="Tahoma" w:cs="Tahoma"/>
          <w:sz w:val="18"/>
          <w:szCs w:val="18"/>
          <w:lang w:val="ru-RU"/>
        </w:rPr>
        <w:t>%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, у односу на 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>просјечну мјесечну производњу из 2010. године</w:t>
      </w:r>
      <w:r w:rsidR="00FD27D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213429">
        <w:rPr>
          <w:rFonts w:ascii="Tahoma" w:hAnsi="Tahoma" w:cs="Tahoma"/>
          <w:sz w:val="18"/>
          <w:szCs w:val="18"/>
          <w:lang w:val="sr-Cyrl-BA"/>
        </w:rPr>
        <w:t>већи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2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, док је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у односу на </w:t>
      </w:r>
      <w:r w:rsidR="00256280" w:rsidRPr="00213429">
        <w:rPr>
          <w:rFonts w:ascii="Tahoma" w:hAnsi="Tahoma" w:cs="Tahoma"/>
          <w:sz w:val="18"/>
          <w:szCs w:val="18"/>
          <w:lang w:val="ru-RU"/>
        </w:rPr>
        <w:t>претходни мјесец текуће године</w:t>
      </w:r>
      <w:r w:rsidR="0025628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мањи 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5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4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213429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213429" w:rsidRDefault="00C42F9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>Индекс индустријске производње остварен у периоду јануар</w:t>
      </w:r>
      <w:r w:rsidR="00AC5FA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септембар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исти период 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>прошле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године већи је за 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6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8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%. У истом периоду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213429">
        <w:rPr>
          <w:rFonts w:ascii="Tahoma" w:hAnsi="Tahoma" w:cs="Tahoma"/>
          <w:sz w:val="18"/>
          <w:szCs w:val="18"/>
          <w:lang w:val="ru-RU"/>
        </w:rPr>
        <w:t>подручју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забиљежена је позитивна стопа промјене од 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24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,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у подручју </w:t>
      </w:r>
      <w:r w:rsidRPr="00213429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позитивна стопа промјене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4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8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% и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213429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позитивна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стопа промјене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од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2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213429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213429" w:rsidRDefault="00C42F94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2011. године у односу на исти период прошле године забиљежена је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позитивна стопа промјене 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трајних производа </w:t>
      </w:r>
      <w:r w:rsidRPr="00213429">
        <w:rPr>
          <w:rFonts w:ascii="Tahoma" w:hAnsi="Tahoma" w:cs="Tahoma"/>
          <w:sz w:val="18"/>
          <w:szCs w:val="18"/>
          <w:lang w:val="sr-Cyrl-BA"/>
        </w:rPr>
        <w:t>од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37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производа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7</w:t>
      </w:r>
      <w:r w:rsidR="008E6F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9</w:t>
      </w:r>
      <w:r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 xml:space="preserve">енергије од 7,5%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и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нетрајних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, док је код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забиљежена негативна стопа промјене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за</w:t>
      </w:r>
      <w:r w:rsidR="005D2E6F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-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5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213429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213429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у </w:t>
      </w:r>
      <w:r w:rsidR="00E929B6" w:rsidRPr="00213429">
        <w:rPr>
          <w:rFonts w:ascii="Tahoma" w:hAnsi="Tahoma" w:cs="Tahoma"/>
          <w:sz w:val="18"/>
          <w:szCs w:val="18"/>
          <w:lang w:val="sr-Cyrl-CS"/>
        </w:rPr>
        <w:t>септембру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2011. године 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односу на 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август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године 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мањи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је 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>за 0,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1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>%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213429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213429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периоду јануар - 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2011. године у поређењу са истим периодом прошле године </w:t>
      </w:r>
      <w:r w:rsidR="00C249E3" w:rsidRPr="00213429">
        <w:rPr>
          <w:rFonts w:ascii="Tahoma" w:hAnsi="Tahoma" w:cs="Tahoma"/>
          <w:sz w:val="18"/>
          <w:szCs w:val="18"/>
          <w:lang w:val="sr-Cyrl-CS"/>
        </w:rPr>
        <w:t>мањи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је за </w:t>
      </w:r>
      <w:r w:rsidR="0066355A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E929B6" w:rsidRPr="00213429">
        <w:rPr>
          <w:rFonts w:ascii="Tahoma" w:hAnsi="Tahoma" w:cs="Tahoma"/>
          <w:sz w:val="18"/>
          <w:szCs w:val="18"/>
          <w:lang w:val="sr-Cyrl-CS"/>
        </w:rPr>
        <w:t>9</w:t>
      </w:r>
      <w:r w:rsidRPr="00213429">
        <w:rPr>
          <w:rFonts w:ascii="Tahoma" w:hAnsi="Tahoma" w:cs="Tahoma"/>
          <w:sz w:val="18"/>
          <w:szCs w:val="18"/>
          <w:lang w:val="sr-Cyrl-CS"/>
        </w:rPr>
        <w:t>%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="00431EFB" w:rsidRPr="00213429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остварен раст од </w:t>
      </w:r>
      <w:r w:rsidR="00C249E3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E929B6" w:rsidRPr="00213429">
        <w:rPr>
          <w:rFonts w:ascii="Tahoma" w:hAnsi="Tahoma" w:cs="Tahoma"/>
          <w:sz w:val="18"/>
          <w:szCs w:val="18"/>
          <w:lang w:val="sr-Cyrl-CS"/>
        </w:rPr>
        <w:t>4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 и </w:t>
      </w:r>
      <w:r w:rsidRPr="00213429">
        <w:rPr>
          <w:rFonts w:ascii="Tahoma" w:hAnsi="Tahoma" w:cs="Tahoma"/>
          <w:sz w:val="18"/>
          <w:szCs w:val="18"/>
          <w:lang w:val="ru-RU"/>
        </w:rPr>
        <w:t>у подручју</w:t>
      </w:r>
      <w:r w:rsidR="005A2DAC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- </w:t>
      </w:r>
      <w:r w:rsidRPr="00213429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C249E3" w:rsidRPr="00213429">
        <w:rPr>
          <w:rFonts w:ascii="Tahoma" w:hAnsi="Tahoma" w:cs="Tahoma"/>
          <w:sz w:val="18"/>
          <w:szCs w:val="18"/>
          <w:lang w:val="ru-RU"/>
        </w:rPr>
        <w:t xml:space="preserve">раст 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од </w:t>
      </w:r>
      <w:r w:rsidR="00715D3A" w:rsidRPr="00213429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5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%, док је у подручју </w:t>
      </w:r>
      <w:r w:rsidR="00431EFB" w:rsidRPr="00213429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забиљежен пад 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броја запослених 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>2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8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213429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F20734" w:rsidRPr="00213429" w:rsidRDefault="00F20734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17306E" w:rsidRPr="00213429" w:rsidRDefault="00B61FD5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213429">
        <w:rPr>
          <w:rFonts w:ascii="Tahoma" w:hAnsi="Tahoma" w:cs="Tahoma"/>
          <w:b/>
          <w:sz w:val="28"/>
          <w:szCs w:val="28"/>
          <w:lang w:val="bs-Cyrl-BA"/>
        </w:rPr>
        <w:t>П</w:t>
      </w:r>
      <w:r w:rsidR="0017306E" w:rsidRPr="00213429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213429">
        <w:rPr>
          <w:rFonts w:ascii="Tahoma" w:hAnsi="Tahoma" w:cs="Tahoma"/>
          <w:b/>
          <w:sz w:val="28"/>
          <w:szCs w:val="28"/>
          <w:lang w:val="sr-Cyrl-BA"/>
        </w:rPr>
        <w:t xml:space="preserve"> (у</w:t>
      </w: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>периоду</w:t>
      </w: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213429">
        <w:rPr>
          <w:rFonts w:ascii="Tahoma" w:hAnsi="Tahoma" w:cs="Tahoma"/>
          <w:b/>
          <w:sz w:val="28"/>
          <w:szCs w:val="28"/>
        </w:rPr>
        <w:t>I</w:t>
      </w: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E9755F" w:rsidRPr="00213429">
        <w:rPr>
          <w:rFonts w:ascii="Tahoma" w:hAnsi="Tahoma" w:cs="Tahoma"/>
          <w:b/>
          <w:sz w:val="28"/>
          <w:szCs w:val="28"/>
        </w:rPr>
        <w:t>I</w:t>
      </w:r>
      <w:r w:rsidR="00C80EE0" w:rsidRPr="00213429">
        <w:rPr>
          <w:rFonts w:ascii="Tahoma" w:hAnsi="Tahoma" w:cs="Tahoma"/>
          <w:b/>
          <w:sz w:val="28"/>
          <w:szCs w:val="28"/>
        </w:rPr>
        <w:t>X</w:t>
      </w: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Pr="00213429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213429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213429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213429">
        <w:rPr>
          <w:rFonts w:ascii="Tahoma" w:hAnsi="Tahoma" w:cs="Tahoma"/>
          <w:b/>
          <w:sz w:val="28"/>
          <w:szCs w:val="28"/>
          <w:lang w:val="ru-RU"/>
        </w:rPr>
        <w:t>,</w:t>
      </w:r>
      <w:r w:rsidR="00C80EE0" w:rsidRPr="00213429">
        <w:rPr>
          <w:rFonts w:ascii="Tahoma" w:hAnsi="Tahoma" w:cs="Tahoma"/>
          <w:b/>
          <w:sz w:val="28"/>
          <w:szCs w:val="28"/>
          <w:lang w:val="ru-RU"/>
        </w:rPr>
        <w:t>3</w:t>
      </w:r>
      <w:r w:rsidR="005E1630" w:rsidRPr="00213429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213429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213429">
        <w:rPr>
          <w:rFonts w:ascii="Tahoma" w:hAnsi="Tahoma" w:cs="Tahoma"/>
          <w:sz w:val="24"/>
          <w:szCs w:val="24"/>
          <w:lang w:val="hr-HR"/>
        </w:rPr>
        <w:t>(I</w:t>
      </w:r>
      <w:r w:rsidR="004A3DCE" w:rsidRPr="00213429">
        <w:rPr>
          <w:rFonts w:ascii="Tahoma" w:hAnsi="Tahoma" w:cs="Tahoma"/>
          <w:sz w:val="24"/>
          <w:szCs w:val="24"/>
          <w:lang w:val="hr-HR"/>
        </w:rPr>
        <w:t>-</w:t>
      </w:r>
      <w:r w:rsidR="00E9755F" w:rsidRPr="00213429">
        <w:rPr>
          <w:rFonts w:ascii="Tahoma" w:hAnsi="Tahoma" w:cs="Tahoma"/>
          <w:sz w:val="24"/>
          <w:szCs w:val="24"/>
          <w:lang w:val="hr-HR"/>
        </w:rPr>
        <w:t>I</w:t>
      </w:r>
      <w:r w:rsidR="00C80EE0" w:rsidRPr="00213429">
        <w:rPr>
          <w:rFonts w:ascii="Tahoma" w:hAnsi="Tahoma" w:cs="Tahoma"/>
          <w:sz w:val="24"/>
          <w:szCs w:val="24"/>
          <w:lang w:val="hr-HR"/>
        </w:rPr>
        <w:t>X</w:t>
      </w:r>
      <w:r w:rsidRPr="00213429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213429">
        <w:rPr>
          <w:rFonts w:ascii="Tahoma" w:hAnsi="Tahoma" w:cs="Tahoma"/>
          <w:sz w:val="24"/>
          <w:szCs w:val="24"/>
          <w:lang w:val="hr-HR"/>
        </w:rPr>
        <w:t>-</w:t>
      </w:r>
      <w:r w:rsidR="00E9755F" w:rsidRPr="00213429">
        <w:rPr>
          <w:rFonts w:ascii="Tahoma" w:hAnsi="Tahoma" w:cs="Tahoma"/>
          <w:sz w:val="24"/>
          <w:szCs w:val="24"/>
          <w:lang w:val="hr-HR"/>
        </w:rPr>
        <w:t>I</w:t>
      </w:r>
      <w:r w:rsidR="00C80EE0" w:rsidRPr="00213429">
        <w:rPr>
          <w:rFonts w:ascii="Tahoma" w:hAnsi="Tahoma" w:cs="Tahoma"/>
          <w:sz w:val="24"/>
          <w:szCs w:val="24"/>
          <w:lang w:val="hr-HR"/>
        </w:rPr>
        <w:t>X</w:t>
      </w:r>
      <w:r w:rsidRPr="00213429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213429">
        <w:rPr>
          <w:rFonts w:ascii="Tahoma" w:hAnsi="Tahoma" w:cs="Tahoma"/>
          <w:sz w:val="24"/>
          <w:szCs w:val="24"/>
          <w:lang w:val="sr-Cyrl-CS"/>
        </w:rPr>
        <w:t>.</w:t>
      </w:r>
      <w:r w:rsidRPr="00213429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213429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="00B040ED" w:rsidRPr="00213429">
        <w:rPr>
          <w:rFonts w:ascii="Tahoma" w:hAnsi="Tahoma" w:cs="Tahoma"/>
          <w:sz w:val="24"/>
          <w:szCs w:val="24"/>
        </w:rPr>
        <w:t>1</w:t>
      </w:r>
      <w:r w:rsidR="00C80EE0" w:rsidRPr="00213429">
        <w:rPr>
          <w:rFonts w:ascii="Tahoma" w:hAnsi="Tahoma" w:cs="Tahoma"/>
          <w:sz w:val="24"/>
          <w:szCs w:val="24"/>
          <w:lang w:val="sr-Cyrl-BA"/>
        </w:rPr>
        <w:t>8</w:t>
      </w:r>
      <w:r w:rsidRPr="00213429">
        <w:rPr>
          <w:rFonts w:ascii="Tahoma" w:hAnsi="Tahoma" w:cs="Tahoma"/>
          <w:sz w:val="24"/>
          <w:szCs w:val="24"/>
          <w:lang w:val="ru-RU"/>
        </w:rPr>
        <w:t>,</w:t>
      </w:r>
      <w:r w:rsidR="00C80EE0" w:rsidRPr="00213429">
        <w:rPr>
          <w:rFonts w:ascii="Tahoma" w:hAnsi="Tahoma" w:cs="Tahoma"/>
          <w:sz w:val="24"/>
          <w:szCs w:val="24"/>
          <w:lang w:val="ru-RU"/>
        </w:rPr>
        <w:t>1</w:t>
      </w:r>
      <w:r w:rsidRPr="00213429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У оквиру 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>укупно остварен</w:t>
      </w:r>
      <w:r w:rsidR="00211CC7" w:rsidRPr="00213429">
        <w:rPr>
          <w:rFonts w:ascii="Tahoma" w:hAnsi="Tahoma" w:cs="Tahoma"/>
          <w:sz w:val="18"/>
          <w:szCs w:val="18"/>
          <w:lang w:val="bs-Cyrl-BA"/>
        </w:rPr>
        <w:t>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робне размјене </w:t>
      </w:r>
      <w:r w:rsidRPr="00213429">
        <w:rPr>
          <w:rFonts w:ascii="Tahoma" w:hAnsi="Tahoma" w:cs="Tahoma"/>
          <w:sz w:val="18"/>
          <w:szCs w:val="18"/>
          <w:lang w:val="sr-Cyrl-BA"/>
        </w:rPr>
        <w:t>Р</w:t>
      </w:r>
      <w:r w:rsidRPr="00213429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Српске 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са иностранством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септембру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ове године, проценат покривености увоза извозом износио је </w:t>
      </w:r>
      <w:r w:rsidR="00A57853" w:rsidRPr="00213429">
        <w:rPr>
          <w:rFonts w:ascii="Tahoma" w:hAnsi="Tahoma" w:cs="Tahoma"/>
          <w:sz w:val="18"/>
          <w:szCs w:val="18"/>
          <w:lang w:val="sr-Cyrl-BA"/>
        </w:rPr>
        <w:t>5</w:t>
      </w:r>
      <w:r w:rsidR="003B0DFC" w:rsidRPr="00213429">
        <w:rPr>
          <w:rFonts w:ascii="Tahoma" w:hAnsi="Tahoma" w:cs="Tahoma"/>
          <w:sz w:val="18"/>
          <w:szCs w:val="18"/>
          <w:lang w:val="sr-Cyrl-BA"/>
        </w:rPr>
        <w:t>8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7</w:t>
      </w:r>
      <w:r w:rsidRPr="00213429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У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септембру 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>2011. године, остварен је извоз у вриједности 2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49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E053E5" w:rsidRPr="00213429">
        <w:rPr>
          <w:rFonts w:ascii="Tahoma" w:hAnsi="Tahoma" w:cs="Tahoma"/>
          <w:sz w:val="18"/>
          <w:szCs w:val="18"/>
          <w:lang w:val="sr-Cyrl-BA"/>
        </w:rPr>
        <w:t>а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КМ и увоз у вриједности од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424</w:t>
      </w:r>
      <w:r w:rsidR="003B0DFC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>милиона КМ.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17306E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периоду </w:t>
      </w:r>
      <w:r w:rsidRPr="00213429">
        <w:rPr>
          <w:rFonts w:ascii="Tahoma" w:hAnsi="Tahoma" w:cs="Tahoma"/>
          <w:sz w:val="18"/>
          <w:szCs w:val="18"/>
          <w:lang w:val="sr-Cyrl-BA"/>
        </w:rPr>
        <w:t>јануар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213429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септембар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2011. године остварен је извоз у вриједности од 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милијард</w:t>
      </w:r>
      <w:r w:rsidR="00A23800" w:rsidRPr="00213429">
        <w:rPr>
          <w:rFonts w:ascii="Tahoma" w:hAnsi="Tahoma" w:cs="Tahoma"/>
          <w:sz w:val="18"/>
          <w:szCs w:val="18"/>
          <w:lang w:val="sr-Cyrl-CS"/>
        </w:rPr>
        <w:t>у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3800" w:rsidRPr="00213429">
        <w:rPr>
          <w:rFonts w:ascii="Tahoma" w:hAnsi="Tahoma" w:cs="Tahoma"/>
          <w:sz w:val="18"/>
          <w:szCs w:val="18"/>
          <w:lang w:val="sr-Cyrl-CS"/>
        </w:rPr>
        <w:t xml:space="preserve">и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911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>милион</w:t>
      </w:r>
      <w:r w:rsidR="00584618" w:rsidRPr="00213429">
        <w:rPr>
          <w:rFonts w:ascii="Tahoma" w:hAnsi="Tahoma" w:cs="Tahoma"/>
          <w:sz w:val="18"/>
          <w:szCs w:val="18"/>
        </w:rPr>
        <w:t>a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КМ, што је за 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8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>период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претходне године. Увоз је, у истом периоду, износио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E9755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>милијард</w:t>
      </w:r>
      <w:r w:rsidR="00E9755F" w:rsidRPr="00213429">
        <w:rPr>
          <w:rFonts w:ascii="Tahoma" w:hAnsi="Tahoma" w:cs="Tahoma"/>
          <w:sz w:val="18"/>
          <w:szCs w:val="18"/>
          <w:lang w:val="sr-Cyrl-CS"/>
        </w:rPr>
        <w:t>е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336</w:t>
      </w:r>
      <w:r w:rsidR="00A57853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>милиона КМ, што је за 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период </w:t>
      </w:r>
      <w:r w:rsidRPr="00213429">
        <w:rPr>
          <w:rFonts w:ascii="Tahoma" w:hAnsi="Tahoma" w:cs="Tahoma"/>
          <w:sz w:val="18"/>
          <w:szCs w:val="18"/>
          <w:lang w:val="sr-Cyrl-CS"/>
        </w:rPr>
        <w:t>претходне године.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B61FD5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Проценат покривености увоза извозом за </w:t>
      </w:r>
      <w:r w:rsidR="005E0F42" w:rsidRPr="00213429">
        <w:rPr>
          <w:rFonts w:ascii="Tahoma" w:hAnsi="Tahoma" w:cs="Tahoma"/>
          <w:sz w:val="18"/>
          <w:szCs w:val="18"/>
          <w:lang w:val="ru-RU"/>
        </w:rPr>
        <w:t xml:space="preserve">првих </w:t>
      </w:r>
      <w:r w:rsidR="00C80EE0" w:rsidRPr="00213429">
        <w:rPr>
          <w:rFonts w:ascii="Tahoma" w:hAnsi="Tahoma" w:cs="Tahoma"/>
          <w:sz w:val="18"/>
          <w:szCs w:val="18"/>
          <w:lang w:val="bs-Cyrl-BA"/>
        </w:rPr>
        <w:t>девет</w:t>
      </w:r>
      <w:r w:rsidR="003B0DFC" w:rsidRPr="00213429">
        <w:rPr>
          <w:rFonts w:ascii="Tahoma" w:hAnsi="Tahoma" w:cs="Tahoma"/>
          <w:sz w:val="18"/>
          <w:szCs w:val="18"/>
          <w:lang w:val="bs-Cyrl-BA"/>
        </w:rPr>
        <w:t xml:space="preserve"> </w:t>
      </w:r>
      <w:r w:rsidR="004A3DCE" w:rsidRPr="00213429">
        <w:rPr>
          <w:rFonts w:ascii="Tahoma" w:hAnsi="Tahoma" w:cs="Tahoma"/>
          <w:sz w:val="18"/>
          <w:szCs w:val="18"/>
          <w:lang w:val="ru-RU"/>
        </w:rPr>
        <w:t>мјесеци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текуће године износио је </w:t>
      </w:r>
      <w:r w:rsidR="00E9755F" w:rsidRPr="00213429">
        <w:rPr>
          <w:rFonts w:ascii="Tahoma" w:hAnsi="Tahoma" w:cs="Tahoma"/>
          <w:sz w:val="18"/>
          <w:szCs w:val="18"/>
          <w:lang w:val="ru-RU"/>
        </w:rPr>
        <w:t>5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>7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%, док је 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спољнотрговински робни дефицит износио </w:t>
      </w:r>
      <w:r w:rsidR="00A57853" w:rsidRPr="00213429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>425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>милиона КМ.</w:t>
      </w:r>
    </w:p>
    <w:p w:rsidR="00E053E5" w:rsidRPr="00213429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213429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213429">
        <w:rPr>
          <w:rFonts w:ascii="Tahoma" w:hAnsi="Tahoma" w:cs="Tahoma"/>
          <w:szCs w:val="18"/>
        </w:rPr>
        <w:t>e</w:t>
      </w:r>
      <w:r w:rsidRPr="00213429">
        <w:rPr>
          <w:rFonts w:ascii="Tahoma" w:hAnsi="Tahoma" w:cs="Tahoma"/>
          <w:szCs w:val="18"/>
          <w:lang w:val="ru-RU"/>
        </w:rPr>
        <w:t xml:space="preserve"> Српск</w:t>
      </w:r>
      <w:r w:rsidRPr="00213429">
        <w:rPr>
          <w:rFonts w:ascii="Tahoma" w:hAnsi="Tahoma" w:cs="Tahoma"/>
          <w:szCs w:val="18"/>
        </w:rPr>
        <w:t>e</w:t>
      </w:r>
      <w:r w:rsidRPr="00213429">
        <w:rPr>
          <w:rFonts w:ascii="Tahoma" w:hAnsi="Tahoma" w:cs="Tahoma"/>
          <w:szCs w:val="18"/>
          <w:lang w:val="ru-RU"/>
        </w:rPr>
        <w:t xml:space="preserve"> с</w:t>
      </w:r>
      <w:r w:rsidR="00211CC7" w:rsidRPr="00213429">
        <w:rPr>
          <w:rFonts w:ascii="Tahoma" w:hAnsi="Tahoma" w:cs="Tahoma"/>
          <w:szCs w:val="18"/>
          <w:lang w:val="ru-RU"/>
        </w:rPr>
        <w:t>а</w:t>
      </w:r>
      <w:r w:rsidRPr="00213429">
        <w:rPr>
          <w:rFonts w:ascii="Tahoma" w:hAnsi="Tahoma" w:cs="Tahoma"/>
          <w:szCs w:val="18"/>
          <w:lang w:val="ru-RU"/>
        </w:rPr>
        <w:t xml:space="preserve"> иностранством, у </w:t>
      </w:r>
      <w:r w:rsidR="00B61FD5" w:rsidRPr="00213429">
        <w:rPr>
          <w:rFonts w:ascii="Tahoma" w:hAnsi="Tahoma" w:cs="Tahoma"/>
          <w:szCs w:val="18"/>
          <w:lang w:val="ru-RU"/>
        </w:rPr>
        <w:t xml:space="preserve">периоду </w:t>
      </w:r>
      <w:r w:rsidRPr="00213429">
        <w:rPr>
          <w:rFonts w:ascii="Tahoma" w:hAnsi="Tahoma" w:cs="Tahoma"/>
          <w:szCs w:val="18"/>
          <w:lang w:val="ru-RU"/>
        </w:rPr>
        <w:t>јануар</w:t>
      </w:r>
      <w:r w:rsidR="00B61FD5" w:rsidRPr="00213429">
        <w:rPr>
          <w:rFonts w:ascii="Tahoma" w:hAnsi="Tahoma" w:cs="Tahoma"/>
          <w:szCs w:val="18"/>
          <w:lang w:val="ru-RU"/>
        </w:rPr>
        <w:t xml:space="preserve"> </w:t>
      </w:r>
      <w:r w:rsidR="003B0DFC" w:rsidRPr="00213429">
        <w:rPr>
          <w:rFonts w:ascii="Tahoma" w:hAnsi="Tahoma" w:cs="Tahoma"/>
          <w:szCs w:val="18"/>
          <w:lang w:val="ru-RU"/>
        </w:rPr>
        <w:t>–</w:t>
      </w:r>
      <w:r w:rsidR="008D6AC0" w:rsidRPr="00213429">
        <w:rPr>
          <w:rFonts w:ascii="Tahoma" w:hAnsi="Tahoma" w:cs="Tahoma"/>
          <w:szCs w:val="18"/>
          <w:lang w:val="ru-RU"/>
        </w:rPr>
        <w:t xml:space="preserve"> </w:t>
      </w:r>
      <w:r w:rsidR="00C80EE0" w:rsidRPr="00213429">
        <w:rPr>
          <w:rFonts w:ascii="Tahoma" w:hAnsi="Tahoma" w:cs="Tahoma"/>
          <w:szCs w:val="18"/>
          <w:lang w:val="ru-RU"/>
        </w:rPr>
        <w:t xml:space="preserve">септембар </w:t>
      </w:r>
      <w:r w:rsidRPr="00213429">
        <w:rPr>
          <w:rFonts w:ascii="Tahoma" w:hAnsi="Tahoma" w:cs="Tahoma"/>
          <w:szCs w:val="18"/>
          <w:lang w:val="sr-Cyrl-CS"/>
        </w:rPr>
        <w:t>2011. године, највише се извозило у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 w:rsidR="00B040ED" w:rsidRPr="00213429">
        <w:rPr>
          <w:rFonts w:ascii="Tahoma" w:hAnsi="Tahoma" w:cs="Tahoma"/>
          <w:szCs w:val="18"/>
          <w:lang w:val="sr-Cyrl-CS"/>
        </w:rPr>
        <w:t>Србију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и то у вриједности од </w:t>
      </w:r>
      <w:r w:rsidR="00C80EE0" w:rsidRPr="00213429">
        <w:rPr>
          <w:rFonts w:ascii="Tahoma" w:hAnsi="Tahoma" w:cs="Tahoma"/>
          <w:szCs w:val="18"/>
          <w:lang w:val="sr-Cyrl-CS"/>
        </w:rPr>
        <w:t>336</w:t>
      </w:r>
      <w:r w:rsidRPr="00213429">
        <w:rPr>
          <w:rFonts w:ascii="Tahoma" w:hAnsi="Tahoma" w:cs="Tahoma"/>
          <w:szCs w:val="18"/>
          <w:lang w:val="sr-Cyrl-CS"/>
        </w:rPr>
        <w:t xml:space="preserve"> милиона КМ, </w:t>
      </w:r>
      <w:r w:rsidR="00E053E5" w:rsidRPr="00213429">
        <w:rPr>
          <w:rFonts w:ascii="Tahoma" w:hAnsi="Tahoma" w:cs="Tahoma"/>
          <w:szCs w:val="18"/>
          <w:lang w:val="sr-Cyrl-CS"/>
        </w:rPr>
        <w:t>односно</w:t>
      </w:r>
      <w:r w:rsidRPr="00213429">
        <w:rPr>
          <w:rFonts w:ascii="Tahoma" w:hAnsi="Tahoma" w:cs="Tahoma"/>
          <w:szCs w:val="18"/>
          <w:lang w:val="sr-Cyrl-CS"/>
        </w:rPr>
        <w:t xml:space="preserve"> 1</w:t>
      </w:r>
      <w:r w:rsidR="00C80EE0" w:rsidRPr="00213429">
        <w:rPr>
          <w:rFonts w:ascii="Tahoma" w:hAnsi="Tahoma" w:cs="Tahoma"/>
          <w:szCs w:val="18"/>
          <w:lang w:val="sr-Cyrl-CS"/>
        </w:rPr>
        <w:t>7</w:t>
      </w:r>
      <w:r w:rsidRPr="00213429">
        <w:rPr>
          <w:rFonts w:ascii="Tahoma" w:hAnsi="Tahoma" w:cs="Tahoma"/>
          <w:szCs w:val="18"/>
          <w:lang w:val="sr-Cyrl-CS"/>
        </w:rPr>
        <w:t>,</w:t>
      </w:r>
      <w:r w:rsidR="00A57853" w:rsidRPr="00213429">
        <w:rPr>
          <w:rFonts w:ascii="Tahoma" w:hAnsi="Tahoma" w:cs="Tahoma"/>
          <w:szCs w:val="18"/>
          <w:lang w:val="sr-Cyrl-CS"/>
        </w:rPr>
        <w:t>6</w:t>
      </w:r>
      <w:r w:rsidRPr="00213429">
        <w:rPr>
          <w:rFonts w:ascii="Tahoma" w:hAnsi="Tahoma" w:cs="Tahoma"/>
          <w:szCs w:val="18"/>
          <w:lang w:val="sr-Cyrl-CS"/>
        </w:rPr>
        <w:t>%</w:t>
      </w:r>
      <w:r w:rsidRPr="00213429">
        <w:rPr>
          <w:rFonts w:ascii="Tahoma" w:hAnsi="Tahoma" w:cs="Tahoma"/>
          <w:szCs w:val="18"/>
          <w:lang w:val="ru-RU"/>
        </w:rPr>
        <w:t xml:space="preserve">, </w:t>
      </w:r>
      <w:r w:rsidRPr="00213429">
        <w:rPr>
          <w:rFonts w:ascii="Tahoma" w:hAnsi="Tahoma" w:cs="Tahoma"/>
          <w:szCs w:val="18"/>
          <w:lang w:val="sr-Cyrl-CS"/>
        </w:rPr>
        <w:t xml:space="preserve">те у </w:t>
      </w:r>
      <w:r w:rsidR="00B040ED" w:rsidRPr="00213429">
        <w:rPr>
          <w:rFonts w:ascii="Tahoma" w:hAnsi="Tahoma" w:cs="Tahoma"/>
          <w:szCs w:val="18"/>
          <w:lang w:val="sr-Cyrl-CS"/>
        </w:rPr>
        <w:t>Италију</w:t>
      </w:r>
      <w:r w:rsidRPr="00213429">
        <w:rPr>
          <w:rFonts w:ascii="Tahoma" w:hAnsi="Tahoma" w:cs="Tahoma"/>
          <w:szCs w:val="18"/>
          <w:lang w:val="sr-Cyrl-CS"/>
        </w:rPr>
        <w:t xml:space="preserve">, у вриједности од </w:t>
      </w:r>
      <w:r w:rsidR="00A57853" w:rsidRPr="00213429">
        <w:rPr>
          <w:rFonts w:ascii="Tahoma" w:hAnsi="Tahoma" w:cs="Tahoma"/>
          <w:szCs w:val="18"/>
          <w:lang w:val="sr-Cyrl-CS"/>
        </w:rPr>
        <w:t>2</w:t>
      </w:r>
      <w:r w:rsidR="00C80EE0" w:rsidRPr="00213429">
        <w:rPr>
          <w:rFonts w:ascii="Tahoma" w:hAnsi="Tahoma" w:cs="Tahoma"/>
          <w:szCs w:val="18"/>
          <w:lang w:val="sr-Cyrl-CS"/>
        </w:rPr>
        <w:t>75</w:t>
      </w:r>
      <w:r w:rsidRPr="00213429">
        <w:rPr>
          <w:rFonts w:ascii="Tahoma" w:hAnsi="Tahoma" w:cs="Tahoma"/>
          <w:szCs w:val="18"/>
          <w:lang w:val="sr-Cyrl-CS"/>
        </w:rPr>
        <w:t xml:space="preserve"> милиона </w:t>
      </w:r>
      <w:r w:rsidR="00B040ED" w:rsidRPr="00213429">
        <w:rPr>
          <w:rFonts w:ascii="Tahoma" w:hAnsi="Tahoma" w:cs="Tahoma"/>
          <w:szCs w:val="18"/>
          <w:lang w:val="sr-Cyrl-CS"/>
        </w:rPr>
        <w:t>КМ, односно 1</w:t>
      </w:r>
      <w:r w:rsidR="003B0DFC" w:rsidRPr="00213429">
        <w:rPr>
          <w:rFonts w:ascii="Tahoma" w:hAnsi="Tahoma" w:cs="Tahoma"/>
          <w:szCs w:val="18"/>
          <w:lang w:val="sr-Cyrl-CS"/>
        </w:rPr>
        <w:t>4</w:t>
      </w:r>
      <w:r w:rsidR="008D6AC0" w:rsidRPr="00213429">
        <w:rPr>
          <w:rFonts w:ascii="Tahoma" w:hAnsi="Tahoma" w:cs="Tahoma"/>
          <w:szCs w:val="18"/>
          <w:lang w:val="sr-Cyrl-CS"/>
        </w:rPr>
        <w:t>,</w:t>
      </w:r>
      <w:r w:rsidR="00C80EE0" w:rsidRPr="00213429">
        <w:rPr>
          <w:rFonts w:ascii="Tahoma" w:hAnsi="Tahoma" w:cs="Tahoma"/>
          <w:szCs w:val="18"/>
          <w:lang w:val="sr-Cyrl-CS"/>
        </w:rPr>
        <w:t>4</w:t>
      </w:r>
      <w:r w:rsidRPr="00213429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213429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 xml:space="preserve">У истом 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>периоду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213429">
        <w:rPr>
          <w:rFonts w:ascii="Tahoma" w:hAnsi="Tahoma" w:cs="Tahoma"/>
          <w:sz w:val="18"/>
          <w:szCs w:val="18"/>
          <w:lang w:val="sr-Cyrl-BA"/>
        </w:rPr>
        <w:t>н</w:t>
      </w:r>
      <w:r w:rsidRPr="00213429">
        <w:rPr>
          <w:rFonts w:ascii="Tahoma" w:hAnsi="Tahoma" w:cs="Tahoma"/>
          <w:sz w:val="18"/>
          <w:szCs w:val="18"/>
          <w:lang w:val="sr-Cyrl-CS"/>
        </w:rPr>
        <w:t>ајвише се увозило и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з Русије и то у вриједности од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916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ми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лиона КМ, </w:t>
      </w:r>
      <w:r w:rsidR="00E053E5" w:rsidRPr="00213429">
        <w:rPr>
          <w:rFonts w:ascii="Tahoma" w:hAnsi="Tahoma" w:cs="Tahoma"/>
          <w:sz w:val="18"/>
          <w:szCs w:val="18"/>
          <w:lang w:val="sr-Cyrl-CS"/>
        </w:rPr>
        <w:t xml:space="preserve">односно 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213429">
        <w:rPr>
          <w:rFonts w:ascii="Tahoma" w:hAnsi="Tahoma" w:cs="Tahoma"/>
          <w:sz w:val="18"/>
          <w:szCs w:val="18"/>
          <w:lang w:val="sr-Cyrl-CS"/>
        </w:rPr>
        <w:t>7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5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60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>9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>8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</w:t>
      </w:r>
      <w:r w:rsidRPr="00213429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213429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8D6AC0" w:rsidRPr="00213429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213429">
        <w:rPr>
          <w:rFonts w:ascii="Tahoma" w:hAnsi="Tahoma" w:cs="Tahoma"/>
          <w:sz w:val="18"/>
          <w:szCs w:val="18"/>
          <w:lang w:val="ru-RU"/>
        </w:rPr>
        <w:t>јануар</w:t>
      </w:r>
      <w:r w:rsidR="008D6AC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>–</w:t>
      </w:r>
      <w:r w:rsidR="008D6AC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 xml:space="preserve">септембар </w:t>
      </w:r>
      <w:r w:rsidRPr="00213429">
        <w:rPr>
          <w:rFonts w:ascii="Tahoma" w:hAnsi="Tahoma" w:cs="Tahoma"/>
          <w:sz w:val="18"/>
          <w:szCs w:val="18"/>
          <w:lang w:val="sr-Cyrl-CS"/>
        </w:rPr>
        <w:t>2011. године, највеће учешће у извозу остваруј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>у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213429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>ена од битуменских минерала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213429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268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4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0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213429">
        <w:rPr>
          <w:rFonts w:ascii="Tahoma" w:hAnsi="Tahoma" w:cs="Tahoma"/>
          <w:sz w:val="18"/>
          <w:szCs w:val="18"/>
          <w:lang w:val="sr-Cyrl-BA"/>
        </w:rPr>
        <w:t>н</w:t>
      </w:r>
      <w:r w:rsidRPr="00213429">
        <w:rPr>
          <w:rFonts w:ascii="Tahoma" w:hAnsi="Tahoma" w:cs="Tahoma"/>
          <w:sz w:val="18"/>
          <w:szCs w:val="18"/>
          <w:lang w:val="ru-RU"/>
        </w:rPr>
        <w:t>афт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213429">
        <w:rPr>
          <w:rFonts w:ascii="Tahoma" w:hAnsi="Tahoma" w:cs="Tahoma"/>
          <w:sz w:val="18"/>
          <w:szCs w:val="18"/>
          <w:lang w:val="ru-RU"/>
        </w:rPr>
        <w:t>уља добијена од битуменских минерала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213429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901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213429">
        <w:rPr>
          <w:rFonts w:ascii="Tahoma" w:hAnsi="Tahoma" w:cs="Tahoma"/>
          <w:sz w:val="18"/>
          <w:szCs w:val="18"/>
          <w:lang w:val="sr-Cyrl-BA"/>
        </w:rPr>
        <w:t>милиона КМ, што износи 2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7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0</w:t>
      </w:r>
      <w:r w:rsidRPr="00213429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213429" w:rsidRDefault="005D400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0D69D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36.7pt;margin-top:8.05pt;width:61.05pt;height:19.75pt;z-index:251658240;mso-width-relative:margin;mso-height-relative:margin" stroked="f">
            <v:textbox style="mso-next-textbox:#_x0000_s1062">
              <w:txbxContent>
                <w:p w:rsidR="002B0C47" w:rsidRPr="0078288A" w:rsidRDefault="002B0C47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Pr="00213429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213429" w:rsidRDefault="000F4DE8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213429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21858" cy="2488758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213429" w:rsidRDefault="000D69D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0D69DB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17.5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2B0C47" w:rsidRPr="0078288A" w:rsidRDefault="002B0C47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0D69DB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2B0C47" w:rsidRPr="0078288A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213429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213429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213429" w:rsidRDefault="000328B8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213429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CE24D5" w:rsidRPr="00213429">
        <w:rPr>
          <w:rFonts w:ascii="Tahoma" w:hAnsi="Tahoma" w:cs="Tahoma"/>
          <w:sz w:val="16"/>
          <w:szCs w:val="16"/>
          <w:lang w:val="ru-RU"/>
        </w:rPr>
        <w:t>2</w:t>
      </w:r>
      <w:r w:rsidR="005E0301" w:rsidRPr="00213429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213429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213429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>воз по мјесецима у хиљ</w:t>
      </w:r>
      <w:r w:rsidR="005E0301" w:rsidRPr="00213429">
        <w:rPr>
          <w:rFonts w:ascii="Tahoma" w:hAnsi="Tahoma" w:cs="Tahoma"/>
          <w:iCs/>
          <w:sz w:val="16"/>
          <w:szCs w:val="16"/>
          <w:lang w:val="sr-Cyrl-CS"/>
        </w:rPr>
        <w:t>адама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 w:rsidR="005E0301" w:rsidRPr="00213429">
        <w:rPr>
          <w:rFonts w:ascii="Tahoma" w:hAnsi="Tahoma" w:cs="Tahoma"/>
          <w:iCs/>
          <w:sz w:val="16"/>
          <w:szCs w:val="16"/>
          <w:lang w:val="sr-Cyrl-CS"/>
        </w:rPr>
        <w:t>КМ</w:t>
      </w:r>
    </w:p>
    <w:p w:rsidR="00D11D2E" w:rsidRPr="00213429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Pr="00213429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A72953" w:rsidRPr="00213429" w:rsidRDefault="00A72953" w:rsidP="003E5E54">
      <w:pPr>
        <w:rPr>
          <w:rFonts w:ascii="Tahoma" w:hAnsi="Tahoma" w:cs="Tahoma"/>
          <w:b/>
          <w:sz w:val="28"/>
          <w:szCs w:val="28"/>
        </w:rPr>
      </w:pPr>
    </w:p>
    <w:p w:rsidR="008F0147" w:rsidRPr="00213429" w:rsidRDefault="008F0147" w:rsidP="003E5E54">
      <w:pPr>
        <w:rPr>
          <w:rFonts w:ascii="Tahoma" w:hAnsi="Tahoma" w:cs="Tahoma"/>
          <w:b/>
          <w:sz w:val="28"/>
          <w:szCs w:val="28"/>
          <w:lang w:val="ru-RU"/>
        </w:rPr>
      </w:pP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Промет у трговини на мало </w:t>
      </w:r>
      <w:r w:rsidR="003823D5" w:rsidRPr="00213429">
        <w:rPr>
          <w:rFonts w:ascii="Tahoma" w:hAnsi="Tahoma" w:cs="Tahoma"/>
          <w:b/>
          <w:sz w:val="28"/>
          <w:szCs w:val="28"/>
          <w:lang w:val="sr-Cyrl-CS"/>
        </w:rPr>
        <w:t xml:space="preserve">мањи </w:t>
      </w:r>
      <w:r w:rsidR="00317BE9" w:rsidRPr="00213429">
        <w:rPr>
          <w:rFonts w:ascii="Tahoma" w:hAnsi="Tahoma" w:cs="Tahoma"/>
          <w:b/>
          <w:sz w:val="28"/>
          <w:szCs w:val="28"/>
          <w:lang w:val="sr-Cyrl-CS"/>
        </w:rPr>
        <w:t>10,6</w:t>
      </w:r>
      <w:r w:rsidRPr="00213429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213429">
        <w:rPr>
          <w:rFonts w:ascii="Tahoma" w:hAnsi="Tahoma" w:cs="Tahoma"/>
          <w:b/>
          <w:sz w:val="28"/>
          <w:szCs w:val="28"/>
          <w:lang w:val="sr-Latn-CS"/>
        </w:rPr>
        <w:t>IX</w:t>
      </w:r>
      <w:r w:rsidR="003823D5"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13429">
        <w:rPr>
          <w:rFonts w:ascii="Tahoma" w:hAnsi="Tahoma" w:cs="Tahoma"/>
          <w:b/>
          <w:sz w:val="28"/>
          <w:szCs w:val="28"/>
          <w:lang w:val="ru-RU"/>
        </w:rPr>
        <w:t>2011/</w:t>
      </w:r>
      <w:r w:rsidRPr="00213429">
        <w:rPr>
          <w:rFonts w:ascii="Tahoma" w:hAnsi="Tahoma" w:cs="Tahoma"/>
          <w:b/>
          <w:sz w:val="28"/>
          <w:szCs w:val="28"/>
        </w:rPr>
        <w:t>V</w:t>
      </w:r>
      <w:r w:rsidR="0062155B" w:rsidRPr="00213429">
        <w:rPr>
          <w:rFonts w:ascii="Tahoma" w:hAnsi="Tahoma" w:cs="Tahoma"/>
          <w:b/>
          <w:sz w:val="28"/>
          <w:szCs w:val="28"/>
        </w:rPr>
        <w:t>I</w:t>
      </w:r>
      <w:r w:rsidR="00317BE9" w:rsidRPr="00213429">
        <w:rPr>
          <w:rFonts w:ascii="Tahoma" w:hAnsi="Tahoma" w:cs="Tahoma"/>
          <w:b/>
          <w:sz w:val="28"/>
          <w:szCs w:val="28"/>
        </w:rPr>
        <w:t>I</w:t>
      </w:r>
      <w:r w:rsidR="0017077B" w:rsidRPr="00213429">
        <w:rPr>
          <w:rFonts w:ascii="Tahoma" w:hAnsi="Tahoma" w:cs="Tahoma"/>
          <w:b/>
          <w:sz w:val="28"/>
          <w:szCs w:val="28"/>
        </w:rPr>
        <w:t>I</w:t>
      </w:r>
      <w:r w:rsidRPr="00213429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213429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213429">
        <w:rPr>
          <w:rFonts w:ascii="Tahoma" w:hAnsi="Tahoma" w:cs="Tahoma"/>
          <w:b/>
          <w:sz w:val="28"/>
          <w:szCs w:val="28"/>
          <w:lang w:val="ru-RU"/>
        </w:rPr>
        <w:t>.</w:t>
      </w:r>
      <w:r w:rsidRPr="00213429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213429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317BE9" w:rsidRPr="00213429" w:rsidRDefault="00317BE9" w:rsidP="00317BE9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 w:rsidRPr="00213429">
        <w:rPr>
          <w:rFonts w:ascii="Tahoma" w:hAnsi="Tahoma" w:cs="Tahoma"/>
          <w:bCs w:val="0"/>
          <w:szCs w:val="18"/>
          <w:lang w:val="sr-Cyrl-CS"/>
        </w:rPr>
        <w:t>Промет у трговини на мало у септембру 2011. године у односу на август 2011. године мањи је за</w:t>
      </w:r>
      <w:r w:rsidRPr="00213429">
        <w:rPr>
          <w:rFonts w:ascii="Tahoma" w:hAnsi="Tahoma" w:cs="Tahoma"/>
          <w:bCs w:val="0"/>
          <w:szCs w:val="18"/>
          <w:lang w:val="ru-RU"/>
        </w:rPr>
        <w:t xml:space="preserve"> </w:t>
      </w:r>
      <w:r w:rsidRPr="00213429">
        <w:rPr>
          <w:rFonts w:ascii="Tahoma" w:hAnsi="Tahoma" w:cs="Tahoma"/>
          <w:bCs w:val="0"/>
          <w:szCs w:val="18"/>
          <w:lang w:val="sr-Cyrl-CS"/>
        </w:rPr>
        <w:t>10,6%,</w:t>
      </w:r>
      <w:r w:rsidRPr="00213429">
        <w:rPr>
          <w:rFonts w:ascii="Tahoma" w:hAnsi="Tahoma" w:cs="Tahoma"/>
          <w:bCs w:val="0"/>
          <w:szCs w:val="18"/>
        </w:rPr>
        <w:t xml:space="preserve"> </w:t>
      </w:r>
      <w:r w:rsidRPr="00213429">
        <w:rPr>
          <w:rFonts w:ascii="Tahoma" w:hAnsi="Tahoma" w:cs="Tahoma"/>
          <w:bCs w:val="0"/>
          <w:szCs w:val="18"/>
          <w:lang w:val="sr-Cyrl-CS"/>
        </w:rPr>
        <w:t>у односу на септембар 2010. године већи је за</w:t>
      </w:r>
      <w:r w:rsidRPr="00213429">
        <w:rPr>
          <w:rFonts w:ascii="Tahoma" w:hAnsi="Tahoma" w:cs="Tahoma"/>
          <w:bCs w:val="0"/>
          <w:szCs w:val="18"/>
          <w:lang w:val="ru-RU"/>
        </w:rPr>
        <w:t xml:space="preserve"> </w:t>
      </w:r>
      <w:r w:rsidRPr="00213429">
        <w:rPr>
          <w:rFonts w:ascii="Tahoma" w:hAnsi="Tahoma" w:cs="Tahoma"/>
          <w:bCs w:val="0"/>
          <w:szCs w:val="18"/>
          <w:lang w:val="sr-Cyrl-CS"/>
        </w:rPr>
        <w:t>3,7%</w:t>
      </w:r>
      <w:r w:rsidRPr="00213429">
        <w:rPr>
          <w:rFonts w:ascii="Tahoma" w:hAnsi="Tahoma" w:cs="Tahoma"/>
          <w:bCs w:val="0"/>
          <w:szCs w:val="18"/>
          <w:lang w:val="ru-RU"/>
        </w:rPr>
        <w:t xml:space="preserve">, </w:t>
      </w:r>
      <w:r w:rsidRPr="00213429">
        <w:rPr>
          <w:rFonts w:ascii="Tahoma" w:hAnsi="Tahoma" w:cs="Tahoma"/>
          <w:bCs w:val="0"/>
          <w:szCs w:val="18"/>
          <w:lang w:val="sr-Cyrl-CS"/>
        </w:rPr>
        <w:t>док је у односу на просјек 2010. године већи 12,6%.</w:t>
      </w:r>
    </w:p>
    <w:p w:rsidR="00242008" w:rsidRPr="00213429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8F0147" w:rsidRPr="00213429" w:rsidRDefault="00317BE9" w:rsidP="00317BE9">
      <w:pPr>
        <w:jc w:val="both"/>
        <w:rPr>
          <w:rFonts w:ascii="Tahoma" w:hAnsi="Tahoma" w:cs="Tahoma"/>
          <w:bCs/>
          <w:sz w:val="18"/>
          <w:szCs w:val="18"/>
          <w:lang w:val="sr-Latn-CS"/>
        </w:rPr>
      </w:pPr>
      <w:r w:rsidRPr="00213429">
        <w:rPr>
          <w:rFonts w:ascii="Tahoma" w:hAnsi="Tahoma" w:cs="Tahoma"/>
          <w:bCs/>
          <w:sz w:val="18"/>
          <w:szCs w:val="18"/>
          <w:lang w:val="sr-Cyrl-CS"/>
        </w:rPr>
        <w:t xml:space="preserve">У структури промета највише учествује трговина на мало  у неспецијализованим продавницама са </w:t>
      </w:r>
      <w:r w:rsidRPr="00213429">
        <w:rPr>
          <w:rFonts w:ascii="Tahoma" w:hAnsi="Tahoma" w:cs="Tahoma"/>
          <w:bCs/>
          <w:sz w:val="18"/>
          <w:szCs w:val="18"/>
          <w:lang w:val="sr-Latn-CS"/>
        </w:rPr>
        <w:t>28,8</w:t>
      </w:r>
      <w:r w:rsidRPr="00213429">
        <w:rPr>
          <w:rFonts w:ascii="Tahoma" w:hAnsi="Tahoma" w:cs="Tahoma"/>
          <w:bCs/>
          <w:sz w:val="18"/>
          <w:szCs w:val="18"/>
          <w:lang w:val="sr-Cyrl-CS"/>
        </w:rPr>
        <w:t xml:space="preserve">%, трговина на мало моторним горивима и мазивима са </w:t>
      </w:r>
      <w:r w:rsidRPr="00213429">
        <w:rPr>
          <w:rFonts w:ascii="Tahoma" w:hAnsi="Tahoma" w:cs="Tahoma"/>
          <w:bCs/>
          <w:sz w:val="18"/>
          <w:szCs w:val="18"/>
        </w:rPr>
        <w:t>28,</w:t>
      </w:r>
      <w:r w:rsidRPr="00213429">
        <w:rPr>
          <w:rFonts w:ascii="Tahoma" w:hAnsi="Tahoma" w:cs="Tahoma"/>
          <w:bCs/>
          <w:sz w:val="18"/>
          <w:szCs w:val="18"/>
          <w:lang w:val="sr-Latn-CS"/>
        </w:rPr>
        <w:t>1</w:t>
      </w:r>
      <w:r w:rsidRPr="00213429">
        <w:rPr>
          <w:rFonts w:ascii="Tahoma" w:hAnsi="Tahoma" w:cs="Tahoma"/>
          <w:bCs/>
          <w:sz w:val="18"/>
          <w:szCs w:val="18"/>
          <w:lang w:val="sr-Cyrl-CS"/>
        </w:rPr>
        <w:t xml:space="preserve">% и остала трговина на мало новом робом у специјализираним продавницама са </w:t>
      </w:r>
      <w:r w:rsidRPr="00213429">
        <w:rPr>
          <w:rFonts w:ascii="Tahoma" w:hAnsi="Tahoma" w:cs="Tahoma"/>
          <w:bCs/>
          <w:sz w:val="18"/>
          <w:szCs w:val="18"/>
          <w:lang w:val="sr-Latn-CS"/>
        </w:rPr>
        <w:t>20,2</w:t>
      </w:r>
      <w:r w:rsidRPr="00213429">
        <w:rPr>
          <w:rFonts w:ascii="Tahoma" w:hAnsi="Tahoma" w:cs="Tahoma"/>
          <w:bCs/>
          <w:sz w:val="18"/>
          <w:szCs w:val="18"/>
          <w:lang w:val="sr-Cyrl-CS"/>
        </w:rPr>
        <w:t>%, док најмање учествује трговина на мало изван продавница 0,</w:t>
      </w:r>
      <w:r w:rsidRPr="00213429">
        <w:rPr>
          <w:rFonts w:ascii="Tahoma" w:hAnsi="Tahoma" w:cs="Tahoma"/>
          <w:bCs/>
          <w:sz w:val="18"/>
          <w:szCs w:val="18"/>
          <w:lang w:val="sr-Latn-CS"/>
        </w:rPr>
        <w:t>3</w:t>
      </w:r>
      <w:r w:rsidRPr="00213429">
        <w:rPr>
          <w:rFonts w:ascii="Tahoma" w:hAnsi="Tahoma" w:cs="Tahoma"/>
          <w:bCs/>
          <w:sz w:val="18"/>
          <w:szCs w:val="18"/>
          <w:lang w:val="sr-Cyrl-CS"/>
        </w:rPr>
        <w:t>%</w:t>
      </w:r>
      <w:r w:rsidRPr="00213429">
        <w:rPr>
          <w:rFonts w:ascii="Tahoma" w:hAnsi="Tahoma" w:cs="Tahoma"/>
          <w:bCs/>
          <w:sz w:val="18"/>
          <w:szCs w:val="18"/>
          <w:lang w:val="sr-Latn-CS"/>
        </w:rPr>
        <w:t>.</w:t>
      </w: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3A5F78" w:rsidRPr="00213429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Забиљежено 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>5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0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 w:rsidR="00854E8C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>мање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ноћења 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BA"/>
        </w:rPr>
        <w:t>у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>септембру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него у 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>августу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3A5F78" w:rsidRPr="00213429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Највише ноћења туриста из Србије и то </w:t>
      </w:r>
      <w:r w:rsidR="00ED3748" w:rsidRPr="00213429">
        <w:rPr>
          <w:rFonts w:ascii="Tahoma" w:hAnsi="Tahoma" w:cs="Tahoma"/>
          <w:spacing w:val="-14"/>
          <w:sz w:val="24"/>
          <w:szCs w:val="24"/>
          <w:lang w:val="ru-RU"/>
        </w:rPr>
        <w:t>4</w:t>
      </w:r>
      <w:r w:rsidR="00854E8C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 w:rsidR="00ED3748" w:rsidRPr="00213429">
        <w:rPr>
          <w:rFonts w:ascii="Tahoma" w:hAnsi="Tahoma" w:cs="Tahoma"/>
          <w:spacing w:val="-14"/>
          <w:sz w:val="24"/>
          <w:szCs w:val="24"/>
          <w:lang w:val="ru-RU"/>
        </w:rPr>
        <w:t>981</w:t>
      </w:r>
    </w:p>
    <w:p w:rsidR="00FD5ABF" w:rsidRPr="00213429" w:rsidRDefault="00FD5ABF" w:rsidP="0020048F">
      <w:pPr>
        <w:pStyle w:val="Default"/>
        <w:jc w:val="both"/>
        <w:rPr>
          <w:color w:val="auto"/>
          <w:highlight w:val="yellow"/>
          <w:lang w:val="ru-RU"/>
        </w:rPr>
      </w:pPr>
    </w:p>
    <w:p w:rsidR="003A5F78" w:rsidRPr="00213429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У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септембру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2011. године Република Српска је располагала са капацитетом од 4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228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соб</w:t>
      </w:r>
      <w:r w:rsidR="00893A0D" w:rsidRPr="00213429">
        <w:rPr>
          <w:rFonts w:ascii="Tahoma" w:hAnsi="Tahoma" w:cs="Tahoma"/>
          <w:sz w:val="18"/>
          <w:szCs w:val="18"/>
          <w:lang w:val="ru-RU"/>
        </w:rPr>
        <w:t>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, односно 9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122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лежаја.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Остварено је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22 410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на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август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2011. године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више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D119D2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2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%, и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58 137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ноћења, што је у односу на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август</w:t>
      </w:r>
      <w:r w:rsidR="00893A0D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2011. године </w:t>
      </w:r>
      <w:r w:rsidR="00D119D2" w:rsidRPr="00213429">
        <w:rPr>
          <w:rFonts w:ascii="Tahoma" w:hAnsi="Tahoma" w:cs="Tahoma"/>
          <w:sz w:val="18"/>
          <w:szCs w:val="18"/>
          <w:lang w:val="sr-Cyrl-BA"/>
        </w:rPr>
        <w:t>мање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0</w:t>
      </w:r>
      <w:r w:rsidRPr="00213429">
        <w:rPr>
          <w:rFonts w:ascii="Tahoma" w:hAnsi="Tahoma" w:cs="Tahoma"/>
          <w:sz w:val="18"/>
          <w:szCs w:val="18"/>
          <w:lang w:val="sr-Cyrl-BA"/>
        </w:rPr>
        <w:t>%.</w:t>
      </w:r>
      <w:r w:rsidRPr="00213429">
        <w:rPr>
          <w:sz w:val="18"/>
          <w:szCs w:val="18"/>
          <w:lang w:val="sr-Cyrl-BA"/>
        </w:rPr>
        <w:t xml:space="preserve"> </w:t>
      </w:r>
    </w:p>
    <w:p w:rsidR="003A5F78" w:rsidRPr="00213429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Поредећи </w:t>
      </w:r>
      <w:r w:rsidR="002B0C47" w:rsidRPr="00213429">
        <w:rPr>
          <w:rFonts w:ascii="Tahoma" w:hAnsi="Tahoma" w:cs="Tahoma"/>
          <w:sz w:val="18"/>
          <w:szCs w:val="18"/>
          <w:lang w:val="sr-Cyrl-CS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</w:t>
      </w:r>
      <w:r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године, забиљежено је </w:t>
      </w:r>
      <w:r w:rsidR="00D23AB4" w:rsidRPr="00213429">
        <w:rPr>
          <w:rFonts w:ascii="Tahoma" w:hAnsi="Tahoma" w:cs="Tahoma"/>
          <w:sz w:val="18"/>
          <w:szCs w:val="18"/>
          <w:lang w:val="ru-RU"/>
        </w:rPr>
        <w:t>смањење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број</w:t>
      </w:r>
      <w:r w:rsidR="00BF550D" w:rsidRPr="00213429">
        <w:rPr>
          <w:rFonts w:ascii="Tahoma" w:hAnsi="Tahoma" w:cs="Tahoma"/>
          <w:sz w:val="18"/>
          <w:szCs w:val="18"/>
          <w:lang w:val="ru-RU"/>
        </w:rPr>
        <w:t>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долазака за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 и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смањење</w:t>
      </w:r>
      <w:r w:rsidR="001301F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броја ноћења за </w:t>
      </w:r>
      <w:r w:rsidR="00D23AB4" w:rsidRPr="00213429">
        <w:rPr>
          <w:rFonts w:ascii="Tahoma" w:hAnsi="Tahoma" w:cs="Tahoma"/>
          <w:sz w:val="18"/>
          <w:szCs w:val="18"/>
          <w:lang w:val="ru-RU"/>
        </w:rPr>
        <w:t>2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6</w:t>
      </w:r>
      <w:r w:rsidRPr="00213429">
        <w:rPr>
          <w:rFonts w:ascii="Tahoma" w:hAnsi="Tahoma" w:cs="Tahoma"/>
          <w:sz w:val="18"/>
          <w:szCs w:val="18"/>
          <w:lang w:val="ru-RU"/>
        </w:rPr>
        <w:t>%</w:t>
      </w:r>
      <w:r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Домаћи туристи су остварили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13 990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23AB4" w:rsidRPr="00213429">
        <w:rPr>
          <w:rFonts w:ascii="Tahoma" w:hAnsi="Tahoma" w:cs="Tahoma"/>
          <w:sz w:val="18"/>
          <w:szCs w:val="18"/>
          <w:lang w:val="sr-Cyrl-BA"/>
        </w:rPr>
        <w:t>мање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3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9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 као и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40 779</w:t>
      </w:r>
      <w:r w:rsidR="00527C6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ноћења,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мање за </w:t>
      </w:r>
      <w:r w:rsidR="007219DE" w:rsidRPr="00213429">
        <w:rPr>
          <w:rFonts w:ascii="Tahoma" w:hAnsi="Tahoma" w:cs="Tahoma"/>
          <w:sz w:val="18"/>
          <w:szCs w:val="18"/>
          <w:lang w:val="ru-RU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3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Страни туристи су остварили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8 420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мање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4C4F71" w:rsidRPr="00213429">
        <w:rPr>
          <w:rFonts w:ascii="Tahoma" w:hAnsi="Tahoma" w:cs="Tahoma"/>
          <w:sz w:val="18"/>
          <w:szCs w:val="18"/>
          <w:lang w:val="sr-Cyrl-BA"/>
        </w:rPr>
        <w:t>7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%, као и 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17 358</w:t>
      </w:r>
      <w:r w:rsidR="004C4F7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ноћења,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 w:rsidR="008771D9" w:rsidRPr="00213429">
        <w:rPr>
          <w:rFonts w:ascii="Tahoma" w:hAnsi="Tahoma" w:cs="Tahoma"/>
          <w:sz w:val="18"/>
          <w:szCs w:val="18"/>
          <w:lang w:val="ru-RU"/>
        </w:rPr>
        <w:t>мање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</w:t>
      </w:r>
      <w:r w:rsidR="008771D9" w:rsidRPr="00213429">
        <w:rPr>
          <w:rFonts w:ascii="Tahoma" w:hAnsi="Tahoma" w:cs="Tahoma"/>
          <w:sz w:val="18"/>
          <w:szCs w:val="18"/>
          <w:lang w:val="ru-RU"/>
        </w:rPr>
        <w:t>5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4C4F71" w:rsidRPr="00213429">
        <w:rPr>
          <w:rFonts w:ascii="Tahoma" w:hAnsi="Tahoma" w:cs="Tahoma"/>
          <w:sz w:val="18"/>
          <w:szCs w:val="18"/>
          <w:lang w:val="ru-RU"/>
        </w:rPr>
        <w:t>7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ru-RU"/>
        </w:rPr>
        <w:t>Од страних туриста, највише ноћења су остварили туристи из Србије (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4 981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), што је у односу на на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 w:rsidR="00685F1F" w:rsidRPr="00213429">
        <w:rPr>
          <w:rFonts w:ascii="Tahoma" w:hAnsi="Tahoma" w:cs="Tahoma"/>
          <w:sz w:val="18"/>
          <w:szCs w:val="18"/>
          <w:lang w:val="ru-RU"/>
        </w:rPr>
        <w:t>мање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22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9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%. На другом мјесту је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Хрватска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са остварених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2 216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ноћења, што је у односу на на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више за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9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6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%. На трећем мјесту по оствареном броју ноћења је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Словенија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(1 </w:t>
      </w:r>
      <w:r w:rsidR="00C31E57" w:rsidRPr="00213429">
        <w:rPr>
          <w:rFonts w:ascii="Tahoma" w:hAnsi="Tahoma" w:cs="Tahoma"/>
          <w:sz w:val="18"/>
          <w:szCs w:val="18"/>
          <w:lang w:val="ru-RU"/>
        </w:rPr>
        <w:t>8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02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), што је у односу на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септембар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више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20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5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94323" w:rsidRPr="00213429" w:rsidRDefault="00F94323" w:rsidP="0020048F">
      <w:pPr>
        <w:ind w:firstLine="720"/>
        <w:jc w:val="both"/>
        <w:rPr>
          <w:rFonts w:ascii="Tahoma" w:hAnsi="Tahoma" w:cs="Tahoma"/>
          <w:b/>
          <w:sz w:val="16"/>
          <w:szCs w:val="16"/>
          <w:lang w:val="sr-Latn-BA"/>
        </w:rPr>
      </w:pPr>
    </w:p>
    <w:p w:rsidR="00DC0E12" w:rsidRPr="00213429" w:rsidRDefault="00DC0E12" w:rsidP="009930EA">
      <w:pPr>
        <w:rPr>
          <w:rFonts w:ascii="Tahoma" w:hAnsi="Tahoma" w:cs="Tahoma"/>
          <w:b/>
          <w:sz w:val="24"/>
          <w:szCs w:val="24"/>
          <w:lang w:val="sr-Cyrl-CS"/>
        </w:rPr>
      </w:pPr>
    </w:p>
    <w:p w:rsidR="009B6BFF" w:rsidRPr="00213429" w:rsidRDefault="009B6BFF" w:rsidP="008B2F5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213429">
        <w:rPr>
          <w:rFonts w:ascii="Tahoma" w:hAnsi="Tahoma" w:cs="Tahoma"/>
          <w:b/>
          <w:sz w:val="28"/>
          <w:szCs w:val="28"/>
          <w:lang w:val="sr-Cyrl-CS"/>
        </w:rPr>
        <w:t>Од укупно произведене топлотне енергије у 20</w:t>
      </w:r>
      <w:r w:rsidRPr="00213429">
        <w:rPr>
          <w:rFonts w:ascii="Tahoma" w:hAnsi="Tahoma" w:cs="Tahoma"/>
          <w:b/>
          <w:sz w:val="28"/>
          <w:szCs w:val="28"/>
          <w:lang w:val="sr-Latn-CS"/>
        </w:rPr>
        <w:t>10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>. години 6</w:t>
      </w:r>
      <w:r w:rsidRPr="00213429">
        <w:rPr>
          <w:rFonts w:ascii="Tahoma" w:hAnsi="Tahoma" w:cs="Tahoma"/>
          <w:b/>
          <w:sz w:val="28"/>
          <w:szCs w:val="28"/>
          <w:lang w:val="sr-Latn-CS"/>
        </w:rPr>
        <w:t>3,2%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 xml:space="preserve"> добијено</w:t>
      </w:r>
      <w:r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>из</w:t>
      </w:r>
      <w:r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13429">
        <w:rPr>
          <w:rFonts w:ascii="Tahoma" w:hAnsi="Tahoma" w:cs="Tahoma"/>
          <w:b/>
          <w:sz w:val="28"/>
          <w:szCs w:val="28"/>
          <w:lang w:val="sr-Cyrl-CS"/>
        </w:rPr>
        <w:t>мазута</w:t>
      </w:r>
    </w:p>
    <w:p w:rsidR="008B2F58" w:rsidRPr="00213429" w:rsidRDefault="00B5627A" w:rsidP="008B2F58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 w:rsidRPr="00213429">
        <w:rPr>
          <w:rFonts w:ascii="Tahoma" w:hAnsi="Tahoma" w:cs="Tahoma"/>
          <w:spacing w:val="-14"/>
          <w:sz w:val="24"/>
          <w:szCs w:val="24"/>
          <w:lang w:val="ru-RU"/>
        </w:rPr>
        <w:t>Највећа производња електричне енергије у</w:t>
      </w:r>
      <w:r w:rsidR="009B6BFF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последњих пет година </w:t>
      </w:r>
    </w:p>
    <w:p w:rsidR="003E5E54" w:rsidRPr="00213429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i/>
          <w:spacing w:val="-4"/>
          <w:sz w:val="18"/>
          <w:szCs w:val="18"/>
          <w:lang w:val="sr-Cyrl-CS"/>
        </w:rPr>
      </w:pPr>
      <w:r w:rsidRPr="00213429">
        <w:rPr>
          <w:rFonts w:ascii="Tahoma" w:hAnsi="Tahoma" w:cs="Tahoma"/>
          <w:b/>
          <w:spacing w:val="-4"/>
          <w:sz w:val="18"/>
          <w:szCs w:val="18"/>
          <w:lang w:val="sr-Cyrl-CS"/>
        </w:rPr>
        <w:t>Бруто производња електричне енергије</w:t>
      </w:r>
      <w:r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у 2010. години била је</w:t>
      </w:r>
      <w:r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 xml:space="preserve">6 430 </w:t>
      </w:r>
      <w:r w:rsidRPr="00213429">
        <w:rPr>
          <w:rFonts w:ascii="Tahoma" w:hAnsi="Tahoma" w:cs="Tahoma"/>
          <w:i/>
          <w:spacing w:val="-4"/>
          <w:sz w:val="18"/>
          <w:szCs w:val="18"/>
          <w:lang w:val="sr-Latn-CS"/>
        </w:rPr>
        <w:t>GWh</w:t>
      </w:r>
      <w:r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, од чега </w:t>
      </w:r>
      <w:r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је у хидроелектранама произведено </w:t>
      </w:r>
      <w:r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>51,8%</w:t>
      </w:r>
      <w:r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а у термоелектранама </w:t>
      </w:r>
      <w:r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>48,1%.</w:t>
      </w: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spacing w:val="-4"/>
          <w:sz w:val="18"/>
          <w:szCs w:val="18"/>
          <w:lang w:val="sr-Cyrl-CS"/>
        </w:rPr>
      </w:pP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sz w:val="18"/>
          <w:szCs w:val="18"/>
          <w:lang w:val="sr-Cyrl-CS"/>
        </w:rPr>
        <w:t>У структури финалне потрошње највише учествују домаћинства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са </w:t>
      </w:r>
      <w:r w:rsidRPr="00213429">
        <w:rPr>
          <w:rFonts w:ascii="Tahoma" w:hAnsi="Tahoma" w:cs="Tahoma"/>
          <w:sz w:val="18"/>
          <w:szCs w:val="18"/>
          <w:lang w:val="sr-Latn-CS"/>
        </w:rPr>
        <w:t>5</w:t>
      </w:r>
      <w:r w:rsidRPr="00213429">
        <w:rPr>
          <w:rFonts w:ascii="Tahoma" w:hAnsi="Tahoma" w:cs="Tahoma"/>
          <w:sz w:val="18"/>
          <w:szCs w:val="18"/>
          <w:lang w:val="sr-Cyrl-CS"/>
        </w:rPr>
        <w:t>7</w:t>
      </w:r>
      <w:r w:rsidRPr="00213429">
        <w:rPr>
          <w:rFonts w:ascii="Tahoma" w:hAnsi="Tahoma" w:cs="Tahoma"/>
          <w:sz w:val="18"/>
          <w:szCs w:val="18"/>
          <w:lang w:val="sr-Latn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>7%, комерцијални и јавни сектор са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2</w:t>
      </w:r>
      <w:r w:rsidRPr="00213429">
        <w:rPr>
          <w:rFonts w:ascii="Tahoma" w:hAnsi="Tahoma" w:cs="Tahoma"/>
          <w:sz w:val="18"/>
          <w:szCs w:val="18"/>
          <w:lang w:val="sr-Cyrl-CS"/>
        </w:rPr>
        <w:t>3,5%, индустрија са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1</w:t>
      </w:r>
      <w:r w:rsidRPr="00213429">
        <w:rPr>
          <w:rFonts w:ascii="Tahoma" w:hAnsi="Tahoma" w:cs="Tahoma"/>
          <w:sz w:val="18"/>
          <w:szCs w:val="18"/>
          <w:lang w:val="sr-Cyrl-CS"/>
        </w:rPr>
        <w:t>5</w:t>
      </w:r>
      <w:r w:rsidRPr="00213429">
        <w:rPr>
          <w:rFonts w:ascii="Tahoma" w:hAnsi="Tahoma" w:cs="Tahoma"/>
          <w:sz w:val="18"/>
          <w:szCs w:val="18"/>
          <w:lang w:val="sr-Latn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>4%</w:t>
      </w:r>
      <w:r w:rsidRPr="00213429">
        <w:rPr>
          <w:rFonts w:ascii="Tahoma" w:hAnsi="Tahoma" w:cs="Tahoma"/>
          <w:sz w:val="18"/>
          <w:szCs w:val="18"/>
          <w:lang w:val="sr-Latn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Latn-CS"/>
        </w:rPr>
        <w:t>док потрошња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у области грађевинарства, саобраћаја и пољопривреде износи укупно 3,4%.  </w:t>
      </w: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b/>
          <w:sz w:val="18"/>
          <w:szCs w:val="18"/>
          <w:lang w:val="sr-Cyrl-CS"/>
        </w:rPr>
        <w:t>Укупна производња топлотне енергије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у 20</w:t>
      </w:r>
      <w:r w:rsidRPr="00213429">
        <w:rPr>
          <w:rFonts w:ascii="Tahoma" w:hAnsi="Tahoma" w:cs="Tahoma"/>
          <w:sz w:val="18"/>
          <w:szCs w:val="18"/>
          <w:lang w:val="sr-Latn-CS"/>
        </w:rPr>
        <w:t>10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. години </w:t>
      </w:r>
      <w:r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била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је 1 </w:t>
      </w:r>
      <w:r w:rsidRPr="00213429">
        <w:rPr>
          <w:rFonts w:ascii="Tahoma" w:hAnsi="Tahoma" w:cs="Tahoma"/>
          <w:sz w:val="18"/>
          <w:szCs w:val="18"/>
          <w:lang w:val="sr-Latn-CS"/>
        </w:rPr>
        <w:t>680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ТЈ од чега је 6</w:t>
      </w:r>
      <w:r w:rsidRPr="00213429">
        <w:rPr>
          <w:rFonts w:ascii="Tahoma" w:hAnsi="Tahoma" w:cs="Tahoma"/>
          <w:sz w:val="18"/>
          <w:szCs w:val="18"/>
          <w:lang w:val="sr-Latn-CS"/>
        </w:rPr>
        <w:t>3,2%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добијено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из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мазута</w:t>
      </w:r>
      <w:r w:rsidRPr="00213429">
        <w:rPr>
          <w:rFonts w:ascii="Tahoma" w:hAnsi="Tahoma" w:cs="Tahoma"/>
          <w:sz w:val="18"/>
          <w:szCs w:val="18"/>
          <w:lang w:val="sr-Latn-CS"/>
        </w:rPr>
        <w:t>,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2</w:t>
      </w:r>
      <w:r w:rsidRPr="00213429">
        <w:rPr>
          <w:rFonts w:ascii="Tahoma" w:hAnsi="Tahoma" w:cs="Tahoma"/>
          <w:sz w:val="18"/>
          <w:szCs w:val="18"/>
          <w:lang w:val="sr-Latn-CS"/>
        </w:rPr>
        <w:t>6,7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из угља, </w:t>
      </w:r>
      <w:r w:rsidRPr="00213429">
        <w:rPr>
          <w:rFonts w:ascii="Tahoma" w:hAnsi="Tahoma" w:cs="Tahoma"/>
          <w:sz w:val="18"/>
          <w:szCs w:val="18"/>
          <w:lang w:val="sr-Latn-CS"/>
        </w:rPr>
        <w:t>6,0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из биомасе и </w:t>
      </w:r>
      <w:r w:rsidRPr="00213429">
        <w:rPr>
          <w:rFonts w:ascii="Tahoma" w:hAnsi="Tahoma" w:cs="Tahoma"/>
          <w:sz w:val="18"/>
          <w:szCs w:val="18"/>
          <w:lang w:val="sr-Latn-CS"/>
        </w:rPr>
        <w:t>4,1</w:t>
      </w:r>
      <w:r w:rsidRPr="00213429">
        <w:rPr>
          <w:rFonts w:ascii="Tahoma" w:hAnsi="Tahoma" w:cs="Tahoma"/>
          <w:sz w:val="18"/>
          <w:szCs w:val="18"/>
          <w:lang w:val="sr-Cyrl-CS"/>
        </w:rPr>
        <w:t>% топлотне енергије је добијен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o </w:t>
      </w:r>
      <w:r w:rsidRPr="00213429">
        <w:rPr>
          <w:rFonts w:ascii="Tahoma" w:hAnsi="Tahoma" w:cs="Tahoma"/>
          <w:sz w:val="18"/>
          <w:szCs w:val="18"/>
          <w:lang w:val="sr-Cyrl-CS"/>
        </w:rPr>
        <w:t>из гаса.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Највећи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финални </w:t>
      </w:r>
      <w:r w:rsidRPr="00213429">
        <w:rPr>
          <w:rFonts w:ascii="Tahoma" w:hAnsi="Tahoma" w:cs="Tahoma"/>
          <w:sz w:val="18"/>
          <w:szCs w:val="18"/>
          <w:lang w:val="sr-Latn-CS"/>
        </w:rPr>
        <w:t>потрошач</w:t>
      </w:r>
      <w:r w:rsidRPr="00213429">
        <w:rPr>
          <w:rFonts w:ascii="Tahoma" w:hAnsi="Tahoma" w:cs="Tahoma"/>
          <w:sz w:val="18"/>
          <w:szCs w:val="18"/>
          <w:lang w:val="sr-Cyrl-CS"/>
        </w:rPr>
        <w:t>и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топлотне енергије су домаћинства са 74,7%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слиједе комерцијални и јавни сектор са 2</w:t>
      </w:r>
      <w:r w:rsidRPr="00213429">
        <w:rPr>
          <w:rFonts w:ascii="Tahoma" w:hAnsi="Tahoma" w:cs="Tahoma"/>
          <w:sz w:val="18"/>
          <w:szCs w:val="18"/>
          <w:lang w:val="sr-Latn-CS"/>
        </w:rPr>
        <w:t>4,6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и индустрија са </w:t>
      </w:r>
      <w:r w:rsidRPr="00213429">
        <w:rPr>
          <w:rFonts w:ascii="Tahoma" w:hAnsi="Tahoma" w:cs="Tahoma"/>
          <w:sz w:val="18"/>
          <w:szCs w:val="18"/>
          <w:lang w:val="sr-Latn-CS"/>
        </w:rPr>
        <w:t>0,7</w:t>
      </w:r>
      <w:r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b/>
          <w:sz w:val="18"/>
          <w:szCs w:val="18"/>
          <w:lang w:val="sr-Cyrl-CS"/>
        </w:rPr>
        <w:t>Укупан увоз природног гаса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у Републику Српску у 20</w:t>
      </w:r>
      <w:r w:rsidRPr="00213429">
        <w:rPr>
          <w:rFonts w:ascii="Tahoma" w:hAnsi="Tahoma" w:cs="Tahoma"/>
          <w:sz w:val="18"/>
          <w:szCs w:val="18"/>
          <w:lang w:val="sr-Latn-CS"/>
        </w:rPr>
        <w:t>10</w:t>
      </w:r>
      <w:r w:rsidRPr="00213429">
        <w:rPr>
          <w:rFonts w:ascii="Tahoma" w:hAnsi="Tahoma" w:cs="Tahoma"/>
          <w:sz w:val="18"/>
          <w:szCs w:val="18"/>
          <w:lang w:val="sr-Cyrl-CS"/>
        </w:rPr>
        <w:t>. години  износио је  3</w:t>
      </w:r>
      <w:r w:rsidRPr="00213429">
        <w:rPr>
          <w:rFonts w:ascii="Tahoma" w:hAnsi="Tahoma" w:cs="Tahoma"/>
          <w:sz w:val="18"/>
          <w:szCs w:val="18"/>
          <w:lang w:val="sr-Latn-CS"/>
        </w:rPr>
        <w:t>8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Latn-CS"/>
        </w:rPr>
        <w:t>418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000 </w:t>
      </w:r>
      <w:r w:rsidRPr="00213429">
        <w:rPr>
          <w:rFonts w:ascii="Tahoma" w:hAnsi="Tahoma" w:cs="Tahoma"/>
          <w:sz w:val="18"/>
          <w:szCs w:val="18"/>
        </w:rPr>
        <w:t>Sm</w:t>
      </w:r>
      <w:r w:rsidRPr="00213429">
        <w:rPr>
          <w:rFonts w:ascii="Tahoma" w:hAnsi="Tahoma" w:cs="Tahoma"/>
          <w:sz w:val="18"/>
          <w:szCs w:val="18"/>
          <w:vertAlign w:val="superscript"/>
        </w:rPr>
        <w:t>3</w:t>
      </w:r>
      <w:r w:rsidRPr="00213429">
        <w:rPr>
          <w:rFonts w:ascii="Tahoma" w:hAnsi="Tahoma" w:cs="Tahoma"/>
          <w:sz w:val="18"/>
          <w:szCs w:val="18"/>
          <w:lang w:val="sr-Cyrl-CS"/>
        </w:rPr>
        <w:t>. Највећи финални потрошач била је индустрија са 9</w:t>
      </w:r>
      <w:r w:rsidRPr="00213429">
        <w:rPr>
          <w:rFonts w:ascii="Tahoma" w:hAnsi="Tahoma" w:cs="Tahoma"/>
          <w:sz w:val="18"/>
          <w:szCs w:val="18"/>
          <w:lang w:val="sr-Latn-CS"/>
        </w:rPr>
        <w:t>0</w:t>
      </w:r>
      <w:r w:rsidRPr="00213429">
        <w:rPr>
          <w:rFonts w:ascii="Tahoma" w:hAnsi="Tahoma" w:cs="Tahoma"/>
          <w:sz w:val="18"/>
          <w:szCs w:val="18"/>
          <w:lang w:val="sr-Cyrl-CS"/>
        </w:rPr>
        <w:t>,1%.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3429">
        <w:rPr>
          <w:rFonts w:ascii="Tahoma" w:hAnsi="Tahoma" w:cs="Tahoma"/>
          <w:b/>
          <w:sz w:val="18"/>
          <w:szCs w:val="18"/>
          <w:lang w:val="sr-Cyrl-CS"/>
        </w:rPr>
        <w:t>Укупна производња угља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у 2010. години била је 4 591 806 </w:t>
      </w:r>
      <w:r w:rsidRPr="00213429">
        <w:rPr>
          <w:rFonts w:ascii="Tahoma" w:hAnsi="Tahoma" w:cs="Tahoma"/>
          <w:sz w:val="18"/>
          <w:szCs w:val="18"/>
          <w:lang w:val="sr-Latn-CS"/>
        </w:rPr>
        <w:t>t</w:t>
      </w:r>
      <w:r w:rsidRPr="00213429">
        <w:rPr>
          <w:rFonts w:ascii="Tahoma" w:hAnsi="Tahoma" w:cs="Tahoma"/>
          <w:sz w:val="18"/>
          <w:szCs w:val="18"/>
          <w:lang w:val="sr-Cyrl-CS"/>
        </w:rPr>
        <w:t>, од ч</w:t>
      </w:r>
      <w:r w:rsidR="009B6BFF" w:rsidRPr="00213429">
        <w:rPr>
          <w:rFonts w:ascii="Tahoma" w:hAnsi="Tahoma" w:cs="Tahoma"/>
          <w:sz w:val="18"/>
          <w:szCs w:val="18"/>
          <w:lang w:val="sr-Cyrl-CS"/>
        </w:rPr>
        <w:t>ега је мрког угља произведено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 1 5</w:t>
      </w:r>
      <w:r w:rsidRPr="00213429">
        <w:rPr>
          <w:rFonts w:ascii="Tahoma" w:hAnsi="Tahoma" w:cs="Tahoma"/>
          <w:sz w:val="18"/>
          <w:szCs w:val="18"/>
          <w:lang w:val="sr-Latn-CS"/>
        </w:rPr>
        <w:t>4</w:t>
      </w:r>
      <w:r w:rsidRPr="00213429">
        <w:rPr>
          <w:rFonts w:ascii="Tahoma" w:hAnsi="Tahoma" w:cs="Tahoma"/>
          <w:sz w:val="18"/>
          <w:szCs w:val="18"/>
          <w:lang w:val="sr-Cyrl-CS"/>
        </w:rPr>
        <w:t>9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966 </w:t>
      </w:r>
      <w:r w:rsidRPr="00213429">
        <w:rPr>
          <w:rFonts w:ascii="Tahoma" w:hAnsi="Tahoma" w:cs="Tahoma"/>
          <w:sz w:val="18"/>
          <w:szCs w:val="18"/>
          <w:lang w:val="sr-Latn-CS"/>
        </w:rPr>
        <w:t>t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а лигнита 3 041 840 </w:t>
      </w:r>
      <w:r w:rsidRPr="00213429">
        <w:rPr>
          <w:rFonts w:ascii="Tahoma" w:hAnsi="Tahoma" w:cs="Tahoma"/>
          <w:sz w:val="18"/>
          <w:szCs w:val="18"/>
          <w:lang w:val="sr-Latn-CS"/>
        </w:rPr>
        <w:t>t.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E5E54" w:rsidRPr="009221CB" w:rsidRDefault="008B2F58" w:rsidP="008B2F58">
      <w:pPr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213429">
        <w:rPr>
          <w:rFonts w:ascii="Tahoma" w:hAnsi="Tahoma" w:cs="Tahoma"/>
          <w:sz w:val="18"/>
          <w:szCs w:val="18"/>
          <w:lang w:val="sr-Latn-CS"/>
        </w:rPr>
        <w:t xml:space="preserve">Од укупно 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расположиве количине 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 уг</w:t>
      </w:r>
      <w:r w:rsidRPr="00213429">
        <w:rPr>
          <w:rFonts w:ascii="Tahoma" w:hAnsi="Tahoma" w:cs="Tahoma"/>
          <w:sz w:val="18"/>
          <w:szCs w:val="18"/>
          <w:lang w:val="sr-Cyrl-CS"/>
        </w:rPr>
        <w:t>љ</w:t>
      </w:r>
      <w:r w:rsidRPr="00213429">
        <w:rPr>
          <w:rFonts w:ascii="Tahoma" w:hAnsi="Tahoma" w:cs="Tahoma"/>
          <w:sz w:val="18"/>
          <w:szCs w:val="18"/>
          <w:lang w:val="sr-Latn-CS"/>
        </w:rPr>
        <w:t xml:space="preserve">а </w:t>
      </w:r>
      <w:r w:rsidRPr="00213429">
        <w:rPr>
          <w:rFonts w:ascii="Tahoma" w:hAnsi="Tahoma" w:cs="Tahoma"/>
          <w:sz w:val="18"/>
          <w:szCs w:val="18"/>
          <w:lang w:val="sr-Cyrl-CS"/>
        </w:rPr>
        <w:t>9</w:t>
      </w:r>
      <w:r w:rsidRPr="00213429">
        <w:rPr>
          <w:rFonts w:ascii="Tahoma" w:hAnsi="Tahoma" w:cs="Tahoma"/>
          <w:sz w:val="18"/>
          <w:szCs w:val="18"/>
          <w:lang w:val="sr-Latn-CS"/>
        </w:rPr>
        <w:t>5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Latn-CS"/>
        </w:rPr>
        <w:t>7</w:t>
      </w:r>
      <w:r w:rsidRPr="00213429">
        <w:rPr>
          <w:rFonts w:ascii="Tahoma" w:hAnsi="Tahoma" w:cs="Tahoma"/>
          <w:sz w:val="18"/>
          <w:szCs w:val="18"/>
          <w:lang w:val="sr-Cyrl-CS"/>
        </w:rPr>
        <w:t xml:space="preserve">% се троши за производњу енергије, а </w:t>
      </w:r>
      <w:r w:rsidRPr="00213429">
        <w:rPr>
          <w:rFonts w:ascii="Tahoma" w:hAnsi="Tahoma" w:cs="Tahoma"/>
          <w:sz w:val="18"/>
          <w:szCs w:val="18"/>
          <w:lang w:val="sr-Latn-CS"/>
        </w:rPr>
        <w:t>4</w:t>
      </w:r>
      <w:r w:rsidRPr="00213429">
        <w:rPr>
          <w:rFonts w:ascii="Tahoma" w:hAnsi="Tahoma" w:cs="Tahoma"/>
          <w:sz w:val="18"/>
          <w:szCs w:val="18"/>
          <w:lang w:val="sr-Cyrl-CS"/>
        </w:rPr>
        <w:t>,</w:t>
      </w:r>
      <w:r w:rsidRPr="00213429">
        <w:rPr>
          <w:rFonts w:ascii="Tahoma" w:hAnsi="Tahoma" w:cs="Tahoma"/>
          <w:sz w:val="18"/>
          <w:szCs w:val="18"/>
          <w:lang w:val="sr-Latn-CS"/>
        </w:rPr>
        <w:t>3</w:t>
      </w:r>
      <w:r w:rsidRPr="00213429">
        <w:rPr>
          <w:rFonts w:ascii="Tahoma" w:hAnsi="Tahoma" w:cs="Tahoma"/>
          <w:sz w:val="18"/>
          <w:szCs w:val="18"/>
          <w:lang w:val="sr-Cyrl-CS"/>
        </w:rPr>
        <w:t>% за финалну</w:t>
      </w:r>
      <w:r w:rsidRPr="009221CB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13429">
        <w:rPr>
          <w:rFonts w:ascii="Tahoma" w:hAnsi="Tahoma" w:cs="Tahoma"/>
          <w:sz w:val="18"/>
          <w:szCs w:val="18"/>
          <w:lang w:val="sr-Cyrl-CS"/>
        </w:rPr>
        <w:t>потрошњу.</w:t>
      </w:r>
    </w:p>
    <w:p w:rsidR="007F09DE" w:rsidRPr="009221CB" w:rsidRDefault="007F09DE" w:rsidP="007F2C40">
      <w:pPr>
        <w:ind w:firstLine="72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DB6D76" w:rsidRPr="000A1737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813E2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DA68BE">
              <w:rPr>
                <w:rFonts w:ascii="Tahoma" w:hAnsi="Tahoma" w:cs="Tahoma"/>
                <w:b/>
                <w:lang w:val="sr-Cyrl-CS"/>
              </w:rPr>
              <w:t>МАТЕРИЈАЛ ПРИПРЕМИЛИ</w:t>
            </w:r>
            <w:r>
              <w:rPr>
                <w:rFonts w:ascii="Tahoma" w:hAnsi="Tahoma" w:cs="Tahoma"/>
                <w:b/>
                <w:lang w:val="sr-Cyrl-CS"/>
              </w:rPr>
              <w:t>:</w:t>
            </w:r>
            <w:r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</w:tc>
      </w:tr>
      <w:tr w:rsidR="00A44C82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C82" w:rsidRPr="00CD2CBF" w:rsidRDefault="00A44C82" w:rsidP="00A44C82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националних рачуна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44C82" w:rsidRPr="006B1A71" w:rsidRDefault="00A44C82" w:rsidP="00A44C82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Рада Радановић</w:t>
            </w:r>
          </w:p>
          <w:p w:rsidR="00A44C82" w:rsidRDefault="000D69DB" w:rsidP="00A44C82">
            <w:hyperlink r:id="rId11" w:history="1"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rada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radanovic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A44C82" w:rsidRPr="00A44C82" w:rsidRDefault="00A44C82" w:rsidP="00A44C82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Дијана Дедић</w:t>
            </w:r>
          </w:p>
          <w:p w:rsidR="00A44C82" w:rsidRDefault="000D69DB" w:rsidP="00A44C82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dijana.dedic@rzs.rs.ba</w:t>
              </w:r>
            </w:hyperlink>
          </w:p>
          <w:p w:rsidR="00A44C82" w:rsidRDefault="00A44C82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213429" w:rsidRPr="00075147" w:rsidTr="00213429">
        <w:trPr>
          <w:trHeight w:hRule="exact" w:val="73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13429" w:rsidRDefault="00213429" w:rsidP="00A44C8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Енергетика</w:t>
            </w:r>
          </w:p>
          <w:p w:rsidR="00213429" w:rsidRPr="006B1A71" w:rsidRDefault="00213429" w:rsidP="00213429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Рада Липовчић</w:t>
            </w:r>
          </w:p>
          <w:p w:rsidR="00213429" w:rsidRDefault="000D69DB" w:rsidP="00213429">
            <w:hyperlink r:id="rId13" w:history="1"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rada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lipovcic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proofErr w:type="spellStart"/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213429" w:rsidRPr="00213429" w:rsidRDefault="00213429" w:rsidP="00A44C82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CD2CBF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рада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Даница Бабић</w:t>
            </w:r>
          </w:p>
          <w:p w:rsidR="00A23F12" w:rsidRDefault="000D69DB" w:rsidP="000F0E43">
            <w:hyperlink r:id="rId14" w:history="1"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danica</w:t>
              </w:r>
              <w:r w:rsidR="000F0E43" w:rsidRPr="006B1A71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babic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proofErr w:type="spellStart"/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0F0E43" w:rsidRPr="00A23F12" w:rsidRDefault="00A23F12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 w:rsidRPr="00A23F12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A23F12" w:rsidRDefault="000D69DB" w:rsidP="000F0E43">
            <w:pPr>
              <w:rPr>
                <w:rFonts w:ascii="Tahoma" w:hAnsi="Tahoma" w:cs="Tahoma"/>
                <w:sz w:val="16"/>
              </w:rPr>
            </w:pPr>
            <w:hyperlink r:id="rId15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vladimir.koprivica@rzs.rs.ba</w:t>
              </w:r>
            </w:hyperlink>
          </w:p>
          <w:p w:rsidR="00A23F12" w:rsidRPr="00A23F12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0F0E43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DA68BE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1431EA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цијена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C10CD">
              <w:rPr>
                <w:rFonts w:ascii="Tahoma" w:hAnsi="Tahoma" w:cs="Tahoma"/>
                <w:sz w:val="16"/>
                <w:lang w:val="sr-Cyrl-BA"/>
              </w:rPr>
              <w:t>Ја</w:t>
            </w:r>
            <w:r>
              <w:rPr>
                <w:rFonts w:ascii="Tahoma" w:hAnsi="Tahoma" w:cs="Tahoma"/>
                <w:sz w:val="16"/>
                <w:lang w:val="sr-Cyrl-BA"/>
              </w:rPr>
              <w:t>с</w:t>
            </w:r>
            <w:r w:rsidRPr="00EC10CD">
              <w:rPr>
                <w:rFonts w:ascii="Tahoma" w:hAnsi="Tahoma" w:cs="Tahoma"/>
                <w:sz w:val="16"/>
                <w:lang w:val="sr-Cyrl-BA"/>
              </w:rPr>
              <w:t>минка Милић</w:t>
            </w:r>
          </w:p>
          <w:p w:rsidR="008C3261" w:rsidRDefault="000D69DB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jasminka</w:t>
              </w:r>
              <w:r w:rsidR="008C3261" w:rsidRPr="00B83328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milic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431E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217F1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и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>нду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стрије и рударства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CD7531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Default="000D69DB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mirjana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bandur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proofErr w:type="spellStart"/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  <w:r w:rsidR="008C3261" w:rsidRPr="006E56E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спољне трговине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Default="000D69DB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sanja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stojcevic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унутрашње трговине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Санела Васиљевић</w:t>
            </w:r>
          </w:p>
          <w:p w:rsidR="008D6CFA" w:rsidRDefault="000D69DB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sanela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vasiljevic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туризма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Мирослав Илић</w:t>
            </w:r>
          </w:p>
          <w:p w:rsidR="008D6CFA" w:rsidRDefault="000D69DB" w:rsidP="008D6CFA">
            <w:pPr>
              <w:rPr>
                <w:lang w:val="sr-Cyrl-BA"/>
              </w:rPr>
            </w:pPr>
            <w:hyperlink r:id="rId20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miroslav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ilic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C14E1B" w:rsidRDefault="00C14E1B" w:rsidP="008D6CFA">
            <w:pPr>
              <w:rPr>
                <w:lang w:val="sr-Cyrl-BA"/>
              </w:rPr>
            </w:pPr>
          </w:p>
          <w:p w:rsidR="00C14E1B" w:rsidRPr="00C14E1B" w:rsidRDefault="00C14E1B" w:rsidP="008D6CFA">
            <w:pPr>
              <w:rPr>
                <w:rFonts w:ascii="Tahoma" w:hAnsi="Tahoma" w:cs="Tahoma"/>
                <w:sz w:val="16"/>
                <w:lang w:val="sr-Cyrl-BA"/>
              </w:rPr>
            </w:pPr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845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460A5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600A4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962DD">
              <w:rPr>
                <w:rFonts w:ascii="Tahoma" w:hAnsi="Tahoma" w:cs="Tahoma"/>
                <w:b/>
                <w:bCs/>
              </w:rPr>
              <w:sym w:font="Symbol" w:char="00C6"/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9600A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460A5B" w:rsidRDefault="000D69D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0D69DB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711D85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711D85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711D85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711D85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711D85">
              <w:rPr>
                <w:rFonts w:ascii="Tahoma" w:hAnsi="Tahoma" w:cs="Tahoma"/>
                <w:sz w:val="16"/>
              </w:rPr>
              <w:t xml:space="preserve">е </w:t>
            </w:r>
            <w:r w:rsidR="00477CB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711D85">
              <w:rPr>
                <w:rFonts w:ascii="Tahoma" w:hAnsi="Tahoma" w:cs="Tahoma"/>
                <w:sz w:val="16"/>
              </w:rPr>
              <w:t xml:space="preserve"> 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  <w:r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DC092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Владан Сибиновић</w:t>
            </w:r>
            <w:r>
              <w:rPr>
                <w:rFonts w:ascii="Tahoma" w:hAnsi="Tahoma" w:cs="Tahoma"/>
                <w:sz w:val="16"/>
                <w:lang w:val="ru-RU"/>
              </w:rPr>
              <w:t xml:space="preserve">, начелник одјељења 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711D85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695E4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 xml:space="preserve">Др 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>Радмила Чичковић, д</w:t>
            </w:r>
            <w:r w:rsidRPr="00711D85">
              <w:rPr>
                <w:rFonts w:ascii="Tahoma" w:hAnsi="Tahoma" w:cs="Tahoma"/>
                <w:sz w:val="16"/>
                <w:lang w:val="ru-RU"/>
              </w:rPr>
              <w:t>иректор</w:t>
            </w:r>
            <w:r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>Саопштење је објављено на Интернету</w:t>
            </w:r>
            <w:r>
              <w:rPr>
                <w:rFonts w:ascii="Tahoma" w:hAnsi="Tahoma" w:cs="Tahoma"/>
                <w:sz w:val="16"/>
                <w:lang w:val="sr-Cyrl-CS"/>
              </w:rPr>
              <w:t>,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 на адреси: 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www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rzs</w:t>
            </w:r>
            <w:proofErr w:type="spellEnd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rs</w:t>
            </w:r>
            <w:proofErr w:type="spellEnd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тел</w:t>
            </w:r>
            <w:r w:rsidRPr="00450CD5">
              <w:rPr>
                <w:rFonts w:ascii="Tahoma" w:hAnsi="Tahoma" w:cs="Tahoma"/>
                <w:sz w:val="16"/>
                <w:lang w:val="ru-RU"/>
              </w:rPr>
              <w:t>. +387 51</w:t>
            </w:r>
            <w:r>
              <w:rPr>
                <w:rFonts w:ascii="Tahoma" w:hAnsi="Tahoma" w:cs="Tahoma"/>
                <w:sz w:val="16"/>
                <w:lang w:val="ru-RU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332 700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E</w:t>
            </w:r>
            <w:r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-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mail</w:t>
            </w:r>
            <w:r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: </w:t>
            </w:r>
            <w:hyperlink r:id="rId21" w:history="1"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stat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@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rzs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rs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450CD5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711D85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Default="000D69DB" w:rsidP="008C3261">
      <w:pPr>
        <w:rPr>
          <w:lang w:val="sr-Cyrl-BA"/>
        </w:rPr>
      </w:pPr>
      <w:r w:rsidRPr="000D69DB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Default="00657939" w:rsidP="008C3261">
      <w:pPr>
        <w:rPr>
          <w:lang w:val="sr-Cyrl-BA"/>
        </w:rPr>
      </w:pPr>
    </w:p>
    <w:sectPr w:rsidR="00657939" w:rsidSect="005D5311">
      <w:headerReference w:type="default" r:id="rId22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47" w:rsidRDefault="002B0C47">
      <w:r>
        <w:separator/>
      </w:r>
    </w:p>
  </w:endnote>
  <w:endnote w:type="continuationSeparator" w:id="0">
    <w:p w:rsidR="002B0C47" w:rsidRDefault="002B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47" w:rsidRDefault="002B0C47">
      <w:r>
        <w:separator/>
      </w:r>
    </w:p>
  </w:footnote>
  <w:footnote w:type="continuationSeparator" w:id="0">
    <w:p w:rsidR="002B0C47" w:rsidRDefault="002B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2B0C4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2B0C47" w:rsidRDefault="002B0C47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2B0C47" w:rsidRPr="00460A5B" w:rsidRDefault="002B0C47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2B0C47" w:rsidRPr="005D5311" w:rsidRDefault="002B0C47" w:rsidP="005D400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31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октобар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9/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0D69DB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0D69DB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003366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0D69DB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2B0C47" w:rsidRDefault="000D69DB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0D69DB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228C"/>
    <w:rsid w:val="00552635"/>
    <w:rsid w:val="00552702"/>
    <w:rsid w:val="00552F07"/>
    <w:rsid w:val="0055398D"/>
    <w:rsid w:val="00553BE9"/>
    <w:rsid w:val="005540B3"/>
    <w:rsid w:val="005541DB"/>
    <w:rsid w:val="00554BC4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703"/>
    <w:rsid w:val="008615D1"/>
    <w:rsid w:val="0086162D"/>
    <w:rsid w:val="008627D4"/>
    <w:rsid w:val="00862973"/>
    <w:rsid w:val="00862C3F"/>
    <w:rsid w:val="00863B68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DF"/>
    <w:rsid w:val="009B3927"/>
    <w:rsid w:val="009B3B15"/>
    <w:rsid w:val="009B3D8C"/>
    <w:rsid w:val="009B5639"/>
    <w:rsid w:val="009B5CEE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3FB"/>
    <w:rsid w:val="00BC6ABE"/>
    <w:rsid w:val="00BC6E3E"/>
    <w:rsid w:val="00BC7A26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717"/>
    <w:rsid w:val="00CA0E55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E93"/>
    <w:rsid w:val="00D81EC9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C49"/>
    <w:rsid w:val="00DB5368"/>
    <w:rsid w:val="00DB5BA5"/>
    <w:rsid w:val="00DB5CE5"/>
    <w:rsid w:val="00DB5F01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706D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a.lipovc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jana.dedic@rzs.rs.ba" TargetMode="Externa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yperlink" Target="mailto:miroslav.il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a.radanovic@rzs.rs.b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ladimir.koprivica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mailto:sanela.vasilj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danica.babic@rzs.rs.ba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stojcevicsa.RZS\Desktop\SANJA\SPOLJNA%20TRGOVINA\za%20medije\Prezentacija,%20od%20avg2011\sep2011\zaGraf%20sep201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794</c:v>
                </c:pt>
                <c:pt idx="1">
                  <c:v>779</c:v>
                </c:pt>
                <c:pt idx="2">
                  <c:v>791</c:v>
                </c:pt>
                <c:pt idx="3">
                  <c:v>798</c:v>
                </c:pt>
                <c:pt idx="4">
                  <c:v>798</c:v>
                </c:pt>
                <c:pt idx="5">
                  <c:v>804</c:v>
                </c:pt>
                <c:pt idx="6">
                  <c:v>807</c:v>
                </c:pt>
                <c:pt idx="7">
                  <c:v>803</c:v>
                </c:pt>
                <c:pt idx="8">
                  <c:v>816</c:v>
                </c:pt>
                <c:pt idx="9">
                  <c:v>817</c:v>
                </c:pt>
                <c:pt idx="10">
                  <c:v>811</c:v>
                </c:pt>
                <c:pt idx="11">
                  <c:v>813</c:v>
                </c:pt>
                <c:pt idx="12">
                  <c:v>807</c:v>
                </c:pt>
              </c:numCache>
            </c:numRef>
          </c:val>
        </c:ser>
        <c:marker val="1"/>
        <c:axId val="133071232"/>
        <c:axId val="133072768"/>
      </c:lineChart>
      <c:catAx>
        <c:axId val="1330712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133072768"/>
        <c:crosses val="autoZero"/>
        <c:lblAlgn val="ctr"/>
        <c:lblOffset val="100"/>
      </c:catAx>
      <c:valAx>
        <c:axId val="1330727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1330712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7157545706145230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zaAvg2011!$A$2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zaAvg2011!$B$2:$N$2</c:f>
              <c:numCache>
                <c:formatCode>General</c:formatCode>
                <c:ptCount val="13"/>
                <c:pt idx="0">
                  <c:v>409765</c:v>
                </c:pt>
                <c:pt idx="1">
                  <c:v>336550</c:v>
                </c:pt>
                <c:pt idx="2">
                  <c:v>370462</c:v>
                </c:pt>
                <c:pt idx="3">
                  <c:v>371725</c:v>
                </c:pt>
                <c:pt idx="4">
                  <c:v>282340</c:v>
                </c:pt>
                <c:pt idx="5">
                  <c:v>318159</c:v>
                </c:pt>
                <c:pt idx="6">
                  <c:v>370953</c:v>
                </c:pt>
                <c:pt idx="7">
                  <c:v>344250</c:v>
                </c:pt>
                <c:pt idx="8">
                  <c:v>344720</c:v>
                </c:pt>
                <c:pt idx="9">
                  <c:v>467781</c:v>
                </c:pt>
                <c:pt idx="10">
                  <c:v>408777</c:v>
                </c:pt>
                <c:pt idx="11">
                  <c:v>375433</c:v>
                </c:pt>
                <c:pt idx="12">
                  <c:v>423868</c:v>
                </c:pt>
              </c:numCache>
            </c:numRef>
          </c:val>
        </c:ser>
        <c:ser>
          <c:idx val="1"/>
          <c:order val="1"/>
          <c:tx>
            <c:strRef>
              <c:f>zaAvg2011!$A$3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zaAvg2011!$B$3:$N$3</c:f>
              <c:numCache>
                <c:formatCode>General</c:formatCode>
                <c:ptCount val="13"/>
                <c:pt idx="0">
                  <c:v>187421</c:v>
                </c:pt>
                <c:pt idx="1">
                  <c:v>180418</c:v>
                </c:pt>
                <c:pt idx="2">
                  <c:v>198072</c:v>
                </c:pt>
                <c:pt idx="3">
                  <c:v>180839</c:v>
                </c:pt>
                <c:pt idx="4">
                  <c:v>175608</c:v>
                </c:pt>
                <c:pt idx="5">
                  <c:v>191390</c:v>
                </c:pt>
                <c:pt idx="6">
                  <c:v>212435</c:v>
                </c:pt>
                <c:pt idx="7">
                  <c:v>213851</c:v>
                </c:pt>
                <c:pt idx="8">
                  <c:v>207617</c:v>
                </c:pt>
                <c:pt idx="9">
                  <c:v>228912</c:v>
                </c:pt>
                <c:pt idx="10">
                  <c:v>214293</c:v>
                </c:pt>
                <c:pt idx="11">
                  <c:v>218369</c:v>
                </c:pt>
                <c:pt idx="12">
                  <c:v>248961</c:v>
                </c:pt>
              </c:numCache>
            </c:numRef>
          </c:val>
        </c:ser>
        <c:marker val="1"/>
        <c:axId val="148209664"/>
        <c:axId val="116273152"/>
      </c:lineChart>
      <c:catAx>
        <c:axId val="148209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6273152"/>
        <c:crosses val="autoZero"/>
        <c:auto val="1"/>
        <c:lblAlgn val="ctr"/>
        <c:lblOffset val="100"/>
      </c:catAx>
      <c:valAx>
        <c:axId val="116273152"/>
        <c:scaling>
          <c:orientation val="minMax"/>
        </c:scaling>
        <c:axPos val="l"/>
        <c:majorGridlines>
          <c:spPr>
            <a:ln w="3175"/>
          </c:spPr>
        </c:majorGridlines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820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8325089962019"/>
          <c:y val="0.41628274022624995"/>
          <c:w val="0.13685590971839753"/>
          <c:h val="0.16743438320210077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Zavod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Zavod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988E-AF79-4575-90C9-D0D70498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2292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16292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26</cp:revision>
  <cp:lastPrinted>2011-10-27T10:57:00Z</cp:lastPrinted>
  <dcterms:created xsi:type="dcterms:W3CDTF">2011-10-26T11:34:00Z</dcterms:created>
  <dcterms:modified xsi:type="dcterms:W3CDTF">2011-10-28T08:37:00Z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