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E11BB8" w:rsidTr="009722E9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D541A2" w:rsidRPr="00E11BB8"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438400" cy="670560"/>
                  <wp:effectExtent l="19050" t="0" r="0" b="0"/>
                  <wp:docPr id="5" name="Picture 4" descr="Novi logo - Boja_Mal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- Boja_Mali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6A1C9B" w:rsidRDefault="005D5311" w:rsidP="00D541A2">
            <w:pPr>
              <w:ind w:left="113"/>
              <w:jc w:val="right"/>
              <w:outlineLvl w:val="0"/>
              <w:rPr>
                <w:rFonts w:ascii="Tahoma" w:hAnsi="Tahoma" w:cs="Tahoma"/>
                <w:color w:val="365F91" w:themeColor="accent1" w:themeShade="BF"/>
                <w:sz w:val="16"/>
                <w:lang w:val="bs-Latn-BA"/>
              </w:rPr>
            </w:pPr>
            <w:r w:rsidRPr="006A1C9B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[</w:t>
            </w:r>
            <w:r w:rsidR="009B294C" w:rsidRPr="006A1C9B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2</w:t>
            </w:r>
            <w:r w:rsidR="00D541A2" w:rsidRPr="006A1C9B">
              <w:rPr>
                <w:rFonts w:ascii="Tahoma" w:hAnsi="Tahoma" w:cs="Tahoma"/>
                <w:color w:val="365F91" w:themeColor="accent1" w:themeShade="BF"/>
                <w:sz w:val="16"/>
              </w:rPr>
              <w:t>5</w:t>
            </w:r>
            <w:r w:rsidRPr="006A1C9B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. </w:t>
            </w:r>
            <w:r w:rsidR="006A1C9B" w:rsidRPr="006A1C9B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>novem</w:t>
            </w:r>
            <w:r w:rsidR="006A1C9B" w:rsidRPr="006A1C9B">
              <w:rPr>
                <w:rFonts w:ascii="Tahoma" w:hAnsi="Tahoma" w:cs="Tahoma"/>
                <w:color w:val="365F91" w:themeColor="accent1" w:themeShade="BF"/>
                <w:sz w:val="16"/>
                <w:lang w:val="sr-Cyrl-CS"/>
              </w:rPr>
              <w:t>bar</w:t>
            </w:r>
            <w:r w:rsidRPr="006A1C9B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 </w:t>
            </w:r>
            <w:r w:rsidRPr="006A1C9B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 xml:space="preserve">2011.]  </w:t>
            </w:r>
            <w:r w:rsidR="005D400E" w:rsidRPr="006A1C9B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1</w:t>
            </w:r>
            <w:r w:rsidR="00D541A2" w:rsidRPr="006A1C9B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</w:rPr>
              <w:t>1</w:t>
            </w:r>
            <w:r w:rsidRPr="006A1C9B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/1</w:t>
            </w:r>
            <w:r w:rsidRPr="006A1C9B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E11BB8" w:rsidTr="009722E9">
        <w:trPr>
          <w:cantSplit/>
        </w:trPr>
        <w:tc>
          <w:tcPr>
            <w:tcW w:w="5385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6A1C9B" w:rsidP="009B294C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novembar</w:t>
            </w:r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2011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6A1C9B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6E3A3E" w:rsidRPr="00FB6D41" w:rsidRDefault="006A1C9B" w:rsidP="00FB6D41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Stopa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realnog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rasta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BDP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2010. </w:t>
      </w:r>
      <w:r>
        <w:rPr>
          <w:rFonts w:ascii="Tahoma" w:hAnsi="Tahoma" w:cs="Tahoma"/>
          <w:b/>
          <w:sz w:val="28"/>
          <w:szCs w:val="28"/>
          <w:lang w:val="sr-Cyrl-CS"/>
        </w:rPr>
        <w:t>godinu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0,8% (</w:t>
      </w:r>
      <w:r>
        <w:rPr>
          <w:rFonts w:ascii="Tahoma" w:hAnsi="Tahoma" w:cs="Tahoma"/>
          <w:b/>
          <w:sz w:val="28"/>
          <w:szCs w:val="28"/>
          <w:lang w:val="sr-Cyrl-CS"/>
        </w:rPr>
        <w:t>konačni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podaci</w:t>
      </w:r>
      <w:r w:rsidR="006E3A3E" w:rsidRPr="00FB6D41">
        <w:rPr>
          <w:rFonts w:ascii="Tahoma" w:hAnsi="Tahoma" w:cs="Tahoma"/>
          <w:b/>
          <w:sz w:val="28"/>
          <w:szCs w:val="28"/>
          <w:lang w:val="sr-Cyrl-CS"/>
        </w:rPr>
        <w:t>)</w:t>
      </w:r>
    </w:p>
    <w:p w:rsidR="006E3A3E" w:rsidRPr="00FB6D41" w:rsidRDefault="006E3A3E" w:rsidP="00FB6D41">
      <w:pPr>
        <w:jc w:val="both"/>
        <w:rPr>
          <w:rFonts w:ascii="Tahoma" w:hAnsi="Tahoma" w:cs="Tahoma"/>
          <w:sz w:val="24"/>
          <w:szCs w:val="24"/>
          <w:lang w:val="sr-Cyrl-CS"/>
        </w:rPr>
      </w:pPr>
      <w:r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U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odnosu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na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2009. </w:t>
      </w:r>
      <w:r w:rsidR="006A1C9B">
        <w:rPr>
          <w:rFonts w:ascii="Tahoma" w:hAnsi="Tahoma" w:cs="Tahoma"/>
          <w:sz w:val="24"/>
          <w:szCs w:val="24"/>
          <w:lang w:val="sr-Cyrl-CS"/>
        </w:rPr>
        <w:t>godinu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, </w:t>
      </w:r>
      <w:r w:rsidR="006A1C9B">
        <w:rPr>
          <w:rFonts w:ascii="Tahoma" w:hAnsi="Tahoma" w:cs="Tahoma"/>
          <w:sz w:val="24"/>
          <w:szCs w:val="24"/>
          <w:lang w:val="sr-Cyrl-CS"/>
        </w:rPr>
        <w:t>BDP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nominalno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veći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1,0% (</w:t>
      </w:r>
      <w:r w:rsidR="006A1C9B">
        <w:rPr>
          <w:rFonts w:ascii="Tahoma" w:hAnsi="Tahoma" w:cs="Tahoma"/>
          <w:sz w:val="24"/>
          <w:szCs w:val="24"/>
          <w:lang w:val="sr-Cyrl-CS"/>
        </w:rPr>
        <w:t>konačni</w:t>
      </w:r>
      <w:r w:rsidRPr="00FB6D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A1C9B">
        <w:rPr>
          <w:rFonts w:ascii="Tahoma" w:hAnsi="Tahoma" w:cs="Tahoma"/>
          <w:sz w:val="24"/>
          <w:szCs w:val="24"/>
          <w:lang w:val="sr-Cyrl-CS"/>
        </w:rPr>
        <w:t>podaci</w:t>
      </w:r>
      <w:r w:rsidRPr="00FB6D41">
        <w:rPr>
          <w:rFonts w:ascii="Tahoma" w:hAnsi="Tahoma" w:cs="Tahoma"/>
          <w:sz w:val="24"/>
          <w:szCs w:val="24"/>
          <w:lang w:val="sr-Cyrl-CS"/>
        </w:rPr>
        <w:t>)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obračunat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primjenom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„</w:t>
      </w:r>
      <w:r>
        <w:rPr>
          <w:rFonts w:ascii="Tahoma" w:hAnsi="Tahoma" w:cs="Tahoma"/>
          <w:sz w:val="18"/>
          <w:szCs w:val="18"/>
          <w:lang w:val="sr-Cyrl-CS"/>
        </w:rPr>
        <w:t>Proizvodne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metode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“, </w:t>
      </w:r>
      <w:r>
        <w:rPr>
          <w:rFonts w:ascii="Tahoma" w:hAnsi="Tahoma" w:cs="Tahoma"/>
          <w:sz w:val="18"/>
          <w:szCs w:val="18"/>
          <w:lang w:val="sr-Cyrl-CS"/>
        </w:rPr>
        <w:t>iskazan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tekućim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cijenama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konačni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podatak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8 308 120 000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5 798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stanovniku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2009.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0,8%.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domaćeg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najznačajnij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e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12,4%, </w:t>
      </w:r>
      <w:r>
        <w:rPr>
          <w:rFonts w:ascii="Tahoma" w:hAnsi="Tahoma" w:cs="Tahoma"/>
          <w:sz w:val="18"/>
          <w:szCs w:val="18"/>
          <w:lang w:val="sr-Cyrl-CS"/>
        </w:rPr>
        <w:t>zatim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slijedi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Poljoprivreda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10,7%, </w:t>
      </w:r>
      <w:r>
        <w:rPr>
          <w:rFonts w:ascii="Tahoma" w:hAnsi="Tahoma" w:cs="Tahoma"/>
          <w:sz w:val="18"/>
          <w:szCs w:val="18"/>
          <w:lang w:val="sr-Cyrl-CS"/>
        </w:rPr>
        <w:t>Državna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uprava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odbrana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obavezno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osiguranje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9,8%, </w:t>
      </w:r>
      <w:r>
        <w:rPr>
          <w:rFonts w:ascii="Tahoma" w:hAnsi="Tahoma" w:cs="Tahoma"/>
          <w:sz w:val="18"/>
          <w:szCs w:val="18"/>
          <w:lang w:val="sr-Cyrl-CS"/>
        </w:rPr>
        <w:t>potom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Poslovanje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nekretninama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iznajmljivanje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poslovne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9,1%,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8,9% </w:t>
      </w:r>
      <w:r>
        <w:rPr>
          <w:rFonts w:ascii="Tahoma" w:hAnsi="Tahoma" w:cs="Tahoma"/>
          <w:sz w:val="18"/>
          <w:szCs w:val="18"/>
          <w:lang w:val="sr-Cyrl-CS"/>
        </w:rPr>
        <w:t>itd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>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Najveći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11,0%,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4,5%, </w:t>
      </w:r>
      <w:r>
        <w:rPr>
          <w:rFonts w:ascii="Tahoma" w:hAnsi="Tahoma" w:cs="Tahoma"/>
          <w:sz w:val="18"/>
          <w:szCs w:val="18"/>
          <w:lang w:val="sr-Cyrl-CS"/>
        </w:rPr>
        <w:t>Ugostiteljstvo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3,6%,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3,0%,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Ribarstvo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(–32,9%), </w:t>
      </w:r>
      <w:r>
        <w:rPr>
          <w:rFonts w:ascii="Tahoma" w:hAnsi="Tahoma" w:cs="Tahoma"/>
          <w:sz w:val="18"/>
          <w:szCs w:val="18"/>
          <w:lang w:val="sr-Cyrl-CS"/>
        </w:rPr>
        <w:t>Građevinarstvo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(-7,9%)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Poljoprivreda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(-5,7%).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Prema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dohodovnom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pristupu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domaćeg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sredstva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učestvuju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47,0%, </w:t>
      </w:r>
      <w:r>
        <w:rPr>
          <w:rFonts w:ascii="Tahoma" w:hAnsi="Tahoma" w:cs="Tahoma"/>
          <w:sz w:val="18"/>
          <w:szCs w:val="18"/>
          <w:lang w:val="sr-Cyrl-CS"/>
        </w:rPr>
        <w:t>potrošnja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fiksnog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14,7%,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operativni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višak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mješoviti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dohodak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21,3%,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porezi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-0,4%.</w:t>
      </w:r>
    </w:p>
    <w:p w:rsidR="00FB6D41" w:rsidRPr="00FB6D41" w:rsidRDefault="00FB6D41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Prema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potrošnom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pristupu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domaćeg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konačnu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učestvuju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98,3%,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investicije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22,5%,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roba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37,2%,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roba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57,9%.</w:t>
      </w: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Konačnu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čine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75,4%,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neprofitne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institucije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1,1%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konačnu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države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individualna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kolektivna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>) 21,8%.</w:t>
      </w:r>
    </w:p>
    <w:p w:rsidR="006E3A3E" w:rsidRPr="00FB6D41" w:rsidRDefault="006E3A3E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B6D41" w:rsidRPr="00FB6D41" w:rsidRDefault="006A1C9B" w:rsidP="00FB6D41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2009.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nominalna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konačne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porasla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2,4%,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okviru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konačnu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bilježe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2,1%.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investicije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stalna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sredstva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bilježe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16,9%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roba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bilježe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12,0%,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roba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B6D41" w:rsidRPr="00FB6D41">
        <w:rPr>
          <w:rFonts w:ascii="Tahoma" w:hAnsi="Tahoma" w:cs="Tahoma"/>
          <w:sz w:val="18"/>
          <w:szCs w:val="18"/>
          <w:lang w:val="sr-Cyrl-CS"/>
        </w:rPr>
        <w:t xml:space="preserve"> 31,9%.</w:t>
      </w:r>
    </w:p>
    <w:p w:rsidR="00FB6D41" w:rsidRPr="00E11BB8" w:rsidRDefault="00FB6D41" w:rsidP="006E3A3E">
      <w:pPr>
        <w:ind w:left="-142"/>
        <w:rPr>
          <w:rFonts w:ascii="Tahoma" w:hAnsi="Tahoma" w:cs="Tahoma"/>
          <w:sz w:val="24"/>
          <w:szCs w:val="24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5E0301" w:rsidRPr="00E11BB8" w:rsidRDefault="0066624B" w:rsidP="009B294C">
      <w:pPr>
        <w:rPr>
          <w:rFonts w:ascii="Tahoma" w:hAnsi="Tahoma" w:cs="Tahoma"/>
          <w:b/>
          <w:sz w:val="28"/>
          <w:szCs w:val="28"/>
        </w:rPr>
      </w:pPr>
      <w:r w:rsidRPr="00E11BB8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CS"/>
        </w:rPr>
        <w:t>Prosječn</w:t>
      </w:r>
      <w:r w:rsidR="006A1C9B"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CS"/>
        </w:rPr>
        <w:t>oktobru</w:t>
      </w:r>
      <w:r w:rsidR="0032304A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E11BB8">
        <w:rPr>
          <w:rFonts w:ascii="Tahoma" w:hAnsi="Tahoma" w:cs="Tahoma"/>
          <w:b/>
          <w:sz w:val="28"/>
          <w:szCs w:val="28"/>
          <w:lang w:val="sr-Cyrl-CS"/>
        </w:rPr>
        <w:t>8</w:t>
      </w:r>
      <w:r w:rsidR="00DE329F" w:rsidRPr="00E11BB8">
        <w:rPr>
          <w:rFonts w:ascii="Tahoma" w:hAnsi="Tahoma" w:cs="Tahoma"/>
          <w:b/>
          <w:sz w:val="28"/>
          <w:szCs w:val="28"/>
        </w:rPr>
        <w:t>0</w:t>
      </w:r>
      <w:r w:rsidR="00DE329F" w:rsidRPr="00E11BB8">
        <w:rPr>
          <w:rFonts w:ascii="Tahoma" w:hAnsi="Tahoma" w:cs="Tahoma"/>
          <w:b/>
          <w:sz w:val="28"/>
          <w:szCs w:val="28"/>
          <w:lang w:val="sr-Cyrl-CS"/>
        </w:rPr>
        <w:t>2</w:t>
      </w:r>
      <w:r w:rsidR="000668D4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E11BB8" w:rsidRDefault="006A1C9B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E11BB8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E11BB8">
        <w:rPr>
          <w:rFonts w:ascii="Tahoma" w:hAnsi="Tahoma" w:cs="Tahoma"/>
          <w:sz w:val="24"/>
          <w:szCs w:val="24"/>
          <w:lang w:val="sr-Cyrl-CS"/>
        </w:rPr>
        <w:t>2</w:t>
      </w:r>
      <w:r w:rsidR="00DE329F" w:rsidRPr="00E11BB8">
        <w:rPr>
          <w:rFonts w:ascii="Tahoma" w:hAnsi="Tahoma" w:cs="Tahoma"/>
          <w:sz w:val="24"/>
          <w:szCs w:val="24"/>
          <w:lang w:val="sr-Cyrl-CS"/>
        </w:rPr>
        <w:t>30</w:t>
      </w:r>
      <w:r w:rsidR="00B61F72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DE329F" w:rsidRPr="00E11BB8">
        <w:rPr>
          <w:rFonts w:ascii="Tahoma" w:hAnsi="Tahoma" w:cs="Tahoma"/>
          <w:sz w:val="24"/>
          <w:szCs w:val="24"/>
          <w:lang w:val="sr-Cyrl-CS"/>
        </w:rPr>
        <w:t xml:space="preserve"> 538</w:t>
      </w:r>
      <w:r w:rsidR="0032304A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E11BB8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E11BB8" w:rsidRDefault="006A1C9B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FF2825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FF2825" w:rsidRPr="00E11BB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FF2825" w:rsidRPr="00E11BB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F2825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FF2825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FF282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F2825" w:rsidRPr="00E11BB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802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E11BB8">
        <w:rPr>
          <w:rFonts w:ascii="Tahoma" w:hAnsi="Tahoma" w:cs="Tahoma"/>
          <w:sz w:val="18"/>
          <w:szCs w:val="18"/>
          <w:lang w:val="hr-HR"/>
        </w:rPr>
        <w:t>,</w:t>
      </w:r>
      <w:r w:rsidR="00FF282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FF282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FF282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1 32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0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FF2825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F2825" w:rsidRPr="00E11BB8" w:rsidRDefault="006A1C9B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808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1 322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. 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prošle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3,4%,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BA"/>
        </w:rPr>
        <w:t xml:space="preserve"> 0,5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>%.</w:t>
      </w:r>
    </w:p>
    <w:p w:rsidR="00FF2825" w:rsidRPr="00E11BB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E11BB8" w:rsidRDefault="006A1C9B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0,7%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1,8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1%.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FF28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FF2825"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E11BB8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6A1C9B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351BFE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30</w:t>
      </w:r>
      <w:r w:rsidR="00C03F53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351BF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5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38</w:t>
      </w:r>
      <w:r w:rsidR="00C36EC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E11BB8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E11BB8" w:rsidRDefault="006A1C9B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7B317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B317B" w:rsidRPr="00E11BB8">
        <w:rPr>
          <w:rFonts w:ascii="Tahoma" w:hAnsi="Tahoma" w:cs="Tahoma"/>
          <w:sz w:val="18"/>
          <w:szCs w:val="18"/>
          <w:lang w:val="ru-RU"/>
        </w:rPr>
        <w:t xml:space="preserve">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7B317B" w:rsidRPr="00E11BB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F4528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E11BB8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E11BB8">
        <w:rPr>
          <w:rFonts w:ascii="Tahoma" w:hAnsi="Tahoma" w:cs="Tahoma"/>
          <w:sz w:val="18"/>
          <w:szCs w:val="18"/>
          <w:lang w:val="ru-RU"/>
        </w:rPr>
        <w:t>.</w:t>
      </w:r>
      <w:r w:rsidR="003E412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E11BB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0301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i/>
          <w:sz w:val="18"/>
          <w:szCs w:val="18"/>
        </w:rPr>
        <w:t>6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>,1%</w:t>
      </w:r>
      <w:r w:rsidR="00DE329F" w:rsidRPr="00E11BB8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Prerađivačka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industrija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i/>
          <w:sz w:val="18"/>
          <w:szCs w:val="18"/>
        </w:rPr>
        <w:t>2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CS"/>
        </w:rPr>
        <w:t>Proizvodnja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snabdijevanje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električnom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energijom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gasom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vodom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1,1%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138D6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3,4%,</w:t>
      </w:r>
      <w:r w:rsidR="005138D6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1,8</w:t>
      </w:r>
      <w:r w:rsidR="00526A94" w:rsidRPr="00E11BB8">
        <w:rPr>
          <w:rFonts w:ascii="Tahoma" w:hAnsi="Tahoma" w:cs="Tahoma"/>
          <w:i/>
          <w:sz w:val="18"/>
          <w:szCs w:val="18"/>
          <w:lang w:val="sr-Cyrl-CS"/>
        </w:rPr>
        <w:t>%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1,5%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526A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DE329F" w:rsidRPr="00E11BB8">
        <w:rPr>
          <w:rFonts w:ascii="Tahoma" w:hAnsi="Tahoma" w:cs="Tahoma"/>
          <w:i/>
          <w:sz w:val="18"/>
          <w:szCs w:val="18"/>
          <w:lang w:val="sr-Cyrl-CS"/>
        </w:rPr>
        <w:t>0,9%</w:t>
      </w:r>
    </w:p>
    <w:p w:rsidR="0076086A" w:rsidRPr="00E11BB8" w:rsidRDefault="0076086A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217CDC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217CDC">
        <w:rPr>
          <w:rFonts w:ascii="Tahoma" w:hAnsi="Tahoma" w:cs="Tahoma"/>
          <w:noProof/>
          <w:sz w:val="18"/>
          <w:szCs w:val="18"/>
          <w:lang w:val="sr-Cyrl-C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21.45pt;margin-top:2.45pt;width:41.05pt;height:26.5pt;z-index:251659264;mso-width-relative:margin;mso-height-relative:margin" stroked="f">
            <v:textbox style="mso-next-textbox:#_x0000_s1063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="00CD0CCB"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58467" cy="3148717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CCB" w:rsidRPr="00E11BB8" w:rsidRDefault="00217CDC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217CDC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216.8pt;margin-top:.85pt;width:50.4pt;height:17.6pt;z-index:251669504;mso-height-percent:200;mso-height-percent:200;mso-width-relative:margin;mso-height-relative:margin" strokecolor="white [3212]">
            <v:textbox style="mso-fit-shape-to-text:t">
              <w:txbxContent>
                <w:p w:rsidR="001D2625" w:rsidRPr="0029071F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Pr="00217CDC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98.65pt;margin-top:.4pt;width:41.3pt;height:19.45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1D2625" w:rsidRPr="0029071F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</w:p>
    <w:p w:rsidR="00CD0CCB" w:rsidRPr="00E11BB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BF2682" w:rsidP="00BF2682">
      <w:pPr>
        <w:ind w:left="-142"/>
        <w:outlineLvl w:val="0"/>
        <w:rPr>
          <w:rFonts w:ascii="Tahoma" w:hAnsi="Tahoma" w:cs="Tahoma"/>
          <w:sz w:val="16"/>
        </w:rPr>
      </w:pPr>
      <w:r w:rsidRPr="00E11BB8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6A1C9B"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E11BB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CE24D5" w:rsidRPr="00E11BB8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E11BB8">
        <w:rPr>
          <w:rFonts w:ascii="Tahoma" w:hAnsi="Tahoma" w:cs="Tahoma"/>
          <w:sz w:val="16"/>
          <w:szCs w:val="16"/>
          <w:lang w:val="ru-RU"/>
        </w:rPr>
        <w:t>.</w:t>
      </w:r>
      <w:r w:rsidR="005E0301" w:rsidRPr="00E11BB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6A1C9B">
        <w:rPr>
          <w:rFonts w:ascii="Tahoma" w:hAnsi="Tahoma" w:cs="Tahoma"/>
          <w:sz w:val="16"/>
          <w:lang w:val="sr-Cyrl-CS"/>
        </w:rPr>
        <w:t>P</w:t>
      </w:r>
      <w:r w:rsidR="006A1C9B">
        <w:rPr>
          <w:rFonts w:ascii="Tahoma" w:hAnsi="Tahoma" w:cs="Tahoma"/>
          <w:sz w:val="16"/>
          <w:lang w:val="ru-RU"/>
        </w:rPr>
        <w:t>rosječn</w:t>
      </w:r>
      <w:r w:rsidR="005E0301" w:rsidRPr="00E11BB8">
        <w:rPr>
          <w:rFonts w:ascii="Tahoma" w:hAnsi="Tahoma" w:cs="Tahoma"/>
          <w:sz w:val="16"/>
        </w:rPr>
        <w:t>e</w:t>
      </w:r>
      <w:r w:rsidR="005E0301" w:rsidRPr="00E11BB8">
        <w:rPr>
          <w:rFonts w:ascii="Tahoma" w:hAnsi="Tahoma" w:cs="Tahoma"/>
          <w:sz w:val="16"/>
          <w:lang w:val="ru-RU"/>
        </w:rPr>
        <w:t xml:space="preserve"> </w:t>
      </w:r>
      <w:r w:rsidR="006A1C9B">
        <w:rPr>
          <w:rFonts w:ascii="Tahoma" w:hAnsi="Tahoma" w:cs="Tahoma"/>
          <w:sz w:val="16"/>
          <w:lang w:val="ru-RU"/>
        </w:rPr>
        <w:t>neto</w:t>
      </w:r>
      <w:r w:rsidR="005E0301" w:rsidRPr="00E11BB8">
        <w:rPr>
          <w:rFonts w:ascii="Tahoma" w:hAnsi="Tahoma" w:cs="Tahoma"/>
          <w:sz w:val="16"/>
          <w:lang w:val="ru-RU"/>
        </w:rPr>
        <w:t xml:space="preserve"> </w:t>
      </w:r>
      <w:r w:rsidR="006A1C9B">
        <w:rPr>
          <w:rFonts w:ascii="Tahoma" w:hAnsi="Tahoma" w:cs="Tahoma"/>
          <w:sz w:val="16"/>
          <w:lang w:val="ru-RU"/>
        </w:rPr>
        <w:t>plat</w:t>
      </w:r>
      <w:r w:rsidR="005E0301" w:rsidRPr="00E11BB8">
        <w:rPr>
          <w:rFonts w:ascii="Tahoma" w:hAnsi="Tahoma" w:cs="Tahoma"/>
          <w:sz w:val="16"/>
        </w:rPr>
        <w:t>e</w:t>
      </w:r>
      <w:r w:rsidR="005E0301" w:rsidRPr="00E11BB8">
        <w:rPr>
          <w:rFonts w:ascii="Tahoma" w:hAnsi="Tahoma" w:cs="Tahoma"/>
          <w:sz w:val="16"/>
          <w:lang w:val="ru-RU"/>
        </w:rPr>
        <w:t xml:space="preserve"> </w:t>
      </w:r>
      <w:r w:rsidR="006A1C9B">
        <w:rPr>
          <w:rFonts w:ascii="Tahoma" w:hAnsi="Tahoma" w:cs="Tahoma"/>
          <w:sz w:val="16"/>
          <w:lang w:val="ru-RU"/>
        </w:rPr>
        <w:t>zaposlenih</w:t>
      </w:r>
      <w:r w:rsidR="005E0301" w:rsidRPr="00E11BB8">
        <w:rPr>
          <w:rFonts w:ascii="Tahoma" w:hAnsi="Tahoma" w:cs="Tahoma"/>
          <w:sz w:val="16"/>
          <w:lang w:val="ru-RU"/>
        </w:rPr>
        <w:t xml:space="preserve"> </w:t>
      </w:r>
      <w:r w:rsidR="006A1C9B">
        <w:rPr>
          <w:rFonts w:ascii="Tahoma" w:hAnsi="Tahoma" w:cs="Tahoma"/>
          <w:sz w:val="16"/>
          <w:lang w:val="ru-RU"/>
        </w:rPr>
        <w:t>po</w:t>
      </w:r>
      <w:r w:rsidR="005E0301" w:rsidRPr="00E11BB8">
        <w:rPr>
          <w:rFonts w:ascii="Tahoma" w:hAnsi="Tahoma" w:cs="Tahoma"/>
          <w:sz w:val="16"/>
          <w:lang w:val="ru-RU"/>
        </w:rPr>
        <w:t xml:space="preserve"> </w:t>
      </w:r>
      <w:r w:rsidR="006A1C9B">
        <w:rPr>
          <w:rFonts w:ascii="Tahoma" w:hAnsi="Tahoma" w:cs="Tahoma"/>
          <w:sz w:val="16"/>
          <w:lang w:val="ru-RU"/>
        </w:rPr>
        <w:t>mjesecima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E11BB8" w:rsidRDefault="005E030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561A7" w:rsidRPr="00E11BB8" w:rsidRDefault="00217CDC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Cyrl-BA"/>
        </w:rPr>
      </w:pPr>
      <w:r w:rsidRPr="00217CDC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next-textbox:#_x0000_s1068;mso-fit-shape-to-text:t">
              <w:txbxContent>
                <w:p w:rsidR="001D2625" w:rsidRPr="00A56A4A" w:rsidRDefault="001D26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17CDC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next-textbox:#_x0000_s1069;mso-fit-shape-to-text:t">
              <w:txbxContent>
                <w:p w:rsidR="001D2625" w:rsidRPr="00A56A4A" w:rsidRDefault="001D2625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1C9B"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BA"/>
        </w:rPr>
        <w:t>u</w: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BA"/>
        </w:rPr>
        <w:t>oktobru</w:t>
      </w:r>
      <w:r w:rsidR="001561A7" w:rsidRPr="00E11BB8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6A1C9B"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 xml:space="preserve"> 1</w:t>
      </w:r>
      <w:r w:rsidR="006869EB" w:rsidRPr="00E11BB8">
        <w:rPr>
          <w:rFonts w:ascii="Tahoma" w:hAnsi="Tahoma" w:cs="Tahoma"/>
          <w:b/>
          <w:sz w:val="28"/>
          <w:szCs w:val="28"/>
          <w:lang w:val="sr-Cyrl-BA"/>
        </w:rPr>
        <w:t>,</w:t>
      </w:r>
      <w:r w:rsidR="00282D51" w:rsidRPr="00E11BB8">
        <w:rPr>
          <w:rFonts w:ascii="Tahoma" w:hAnsi="Tahoma" w:cs="Tahoma"/>
          <w:b/>
          <w:sz w:val="28"/>
          <w:szCs w:val="28"/>
          <w:lang w:val="sr-Cyrl-BA"/>
        </w:rPr>
        <w:t>1</w:t>
      </w:r>
      <w:r w:rsidR="006869EB" w:rsidRPr="00E11BB8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E11BB8" w:rsidRDefault="006A1C9B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1561A7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1561A7" w:rsidRPr="00E11BB8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5D7CF8" w:rsidRPr="00E11BB8">
        <w:rPr>
          <w:rFonts w:ascii="Tahoma" w:hAnsi="Tahoma" w:cs="Tahoma"/>
          <w:sz w:val="24"/>
          <w:szCs w:val="24"/>
          <w:lang w:val="sr-Cyrl-BA"/>
        </w:rPr>
        <w:t>X</w:t>
      </w:r>
      <w:r w:rsidR="001561A7" w:rsidRPr="00E11BB8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5D7CF8" w:rsidRPr="00E11BB8">
        <w:rPr>
          <w:rFonts w:ascii="Tahoma" w:hAnsi="Tahoma" w:cs="Tahoma"/>
          <w:sz w:val="24"/>
          <w:szCs w:val="24"/>
        </w:rPr>
        <w:t>X</w:t>
      </w:r>
      <w:r w:rsidR="001561A7" w:rsidRPr="00E11BB8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E11BB8">
        <w:rPr>
          <w:rFonts w:ascii="Tahoma" w:hAnsi="Tahoma" w:cs="Tahoma"/>
          <w:sz w:val="24"/>
          <w:szCs w:val="24"/>
          <w:lang w:val="sr-Cyrl-BA"/>
        </w:rPr>
        <w:t>.</w:t>
      </w:r>
      <w:r w:rsidR="00282D51" w:rsidRPr="00E11BB8">
        <w:rPr>
          <w:rFonts w:ascii="Tahoma" w:hAnsi="Tahoma" w:cs="Tahoma"/>
          <w:sz w:val="24"/>
          <w:szCs w:val="24"/>
          <w:lang w:val="sr-Cyrl-BA"/>
        </w:rPr>
        <w:t>) 4</w:t>
      </w:r>
      <w:r w:rsidR="00924AD7" w:rsidRPr="00E11BB8">
        <w:rPr>
          <w:rFonts w:ascii="Tahoma" w:hAnsi="Tahoma" w:cs="Tahoma"/>
          <w:sz w:val="24"/>
          <w:szCs w:val="24"/>
          <w:lang w:val="sr-Cyrl-BA"/>
        </w:rPr>
        <w:t>,</w:t>
      </w:r>
      <w:r w:rsidR="00282D51" w:rsidRPr="00E11BB8">
        <w:rPr>
          <w:rFonts w:ascii="Tahoma" w:hAnsi="Tahoma" w:cs="Tahoma"/>
          <w:sz w:val="24"/>
          <w:szCs w:val="24"/>
          <w:lang w:val="sr-Cyrl-BA"/>
        </w:rPr>
        <w:t>0</w:t>
      </w:r>
      <w:r w:rsidR="001561A7" w:rsidRPr="00E11BB8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E11BB8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E11BB8" w:rsidRDefault="006A1C9B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  <w:r>
        <w:rPr>
          <w:rFonts w:ascii="Tahoma" w:hAnsi="Tahoma" w:cs="Tahoma"/>
          <w:szCs w:val="18"/>
          <w:lang w:val="sr-Cyrl-BA"/>
        </w:rPr>
        <w:t>Cijene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proizvoda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usluga</w:t>
      </w:r>
      <w:r w:rsidR="00BF01FE" w:rsidRPr="00E11BB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koje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koriste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ličnu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potrošnju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Republici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Srpskoj</w:t>
      </w:r>
      <w:r w:rsidR="00BF01FE" w:rsidRPr="00E11BB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mjerene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indeksom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potrošačkih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cijena</w:t>
      </w:r>
      <w:r w:rsidR="00BF01FE" w:rsidRPr="00E11BB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oktobru</w:t>
      </w:r>
      <w:r w:rsidR="005D7CF8" w:rsidRPr="00E11BB8">
        <w:rPr>
          <w:rFonts w:ascii="Tahoma" w:hAnsi="Tahoma" w:cs="Tahoma"/>
          <w:szCs w:val="18"/>
        </w:rPr>
        <w:t xml:space="preserve"> </w:t>
      </w:r>
      <w:r w:rsidR="00BF01FE" w:rsidRPr="00E11BB8">
        <w:rPr>
          <w:rFonts w:ascii="Tahoma" w:hAnsi="Tahoma" w:cs="Tahoma"/>
          <w:szCs w:val="18"/>
          <w:lang w:val="sr-Cyrl-BA"/>
        </w:rPr>
        <w:t xml:space="preserve">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odnosu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na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septembar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E11BB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prosijeku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su</w:t>
      </w:r>
      <w:r w:rsidR="00BF01FE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više</w:t>
      </w:r>
      <w:r w:rsidR="005D7CF8" w:rsidRPr="00E11BB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5D7CF8" w:rsidRPr="00E11BB8">
        <w:rPr>
          <w:rFonts w:ascii="Tahoma" w:hAnsi="Tahoma" w:cs="Tahoma"/>
          <w:szCs w:val="18"/>
          <w:lang w:val="sr-Cyrl-BA"/>
        </w:rPr>
        <w:t xml:space="preserve"> </w:t>
      </w:r>
      <w:r w:rsidR="00BC7F18" w:rsidRPr="00E11BB8">
        <w:rPr>
          <w:rFonts w:ascii="Tahoma" w:hAnsi="Tahoma" w:cs="Tahoma"/>
          <w:szCs w:val="18"/>
          <w:lang w:val="sr-Cyrl-BA"/>
        </w:rPr>
        <w:t>1</w:t>
      </w:r>
      <w:r w:rsidR="005D7CF8" w:rsidRPr="00E11BB8">
        <w:rPr>
          <w:rFonts w:ascii="Tahoma" w:hAnsi="Tahoma" w:cs="Tahoma"/>
          <w:szCs w:val="18"/>
          <w:lang w:val="sr-Cyrl-BA"/>
        </w:rPr>
        <w:t>,</w:t>
      </w:r>
      <w:r w:rsidR="00BC7F18" w:rsidRPr="00E11BB8">
        <w:rPr>
          <w:rFonts w:ascii="Tahoma" w:hAnsi="Tahoma" w:cs="Tahoma"/>
          <w:szCs w:val="18"/>
          <w:lang w:val="sr-Cyrl-BA"/>
        </w:rPr>
        <w:t>1</w:t>
      </w:r>
      <w:r w:rsidR="005D7CF8" w:rsidRPr="00E11BB8">
        <w:rPr>
          <w:rFonts w:ascii="Tahoma" w:hAnsi="Tahoma" w:cs="Tahoma"/>
          <w:szCs w:val="18"/>
          <w:lang w:val="sr-Cyrl-BA"/>
        </w:rPr>
        <w:t>%</w:t>
      </w:r>
      <w:r w:rsidR="00BF01FE" w:rsidRPr="00E11BB8">
        <w:rPr>
          <w:rFonts w:ascii="Tahoma" w:hAnsi="Tahoma" w:cs="Tahoma"/>
          <w:szCs w:val="18"/>
          <w:lang w:val="sr-Cyrl-BA"/>
        </w:rPr>
        <w:t>.</w:t>
      </w:r>
    </w:p>
    <w:p w:rsidR="00623697" w:rsidRPr="00E11BB8" w:rsidRDefault="00623697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</w:p>
    <w:p w:rsidR="00623697" w:rsidRPr="00E11BB8" w:rsidRDefault="006A1C9B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Ovakavo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rezultiralo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prelaskom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obračuna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električne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energije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ljetne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zimsku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tarifu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2A2F1D" w:rsidRPr="00E11B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plina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3,2%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grijanja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Prijedoru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uzrokovalo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11,1%.</w:t>
      </w: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</w:rPr>
      </w:pPr>
    </w:p>
    <w:p w:rsidR="00623697" w:rsidRPr="00E11BB8" w:rsidRDefault="006A1C9B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još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623697" w:rsidRPr="00E11BB8" w:rsidRDefault="00623697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3697" w:rsidRPr="00E11BB8" w:rsidRDefault="006A1C9B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gdje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oktobru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0,3%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0,9%, </w:t>
      </w:r>
      <w:r>
        <w:rPr>
          <w:rFonts w:ascii="Tahoma" w:hAnsi="Tahoma" w:cs="Tahoma"/>
          <w:sz w:val="18"/>
          <w:szCs w:val="18"/>
          <w:lang w:val="sr-Cyrl-BA"/>
        </w:rPr>
        <w:t>žestokoih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pića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0,7%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vina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0,4%.</w:t>
      </w:r>
    </w:p>
    <w:p w:rsidR="00623697" w:rsidRPr="00E11BB8" w:rsidRDefault="00623697" w:rsidP="00623697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623697" w:rsidRPr="00E11BB8" w:rsidRDefault="006A1C9B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Indeks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Namještaj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pokućstvo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što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malih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aparata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raznih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dodataka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domaćinstvo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sijalice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prekidači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utičnice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sl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>).</w:t>
      </w:r>
    </w:p>
    <w:p w:rsidR="00623697" w:rsidRPr="00E11BB8" w:rsidRDefault="00623697" w:rsidP="00623697">
      <w:pPr>
        <w:jc w:val="both"/>
        <w:rPr>
          <w:rFonts w:ascii="Tahoma" w:eastAsia="Calibri" w:hAnsi="Tahoma" w:cs="Tahoma"/>
          <w:sz w:val="18"/>
          <w:szCs w:val="18"/>
        </w:rPr>
      </w:pPr>
    </w:p>
    <w:p w:rsidR="00623697" w:rsidRPr="00E11BB8" w:rsidRDefault="006A1C9B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0,1%,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prosijeku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ostale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nepromijeljene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0,6%.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prosijeku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promjene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5,3%,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Riba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prerađene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konzervisane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2,9%,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praška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pecivo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1,9%, </w:t>
      </w:r>
      <w:r>
        <w:rPr>
          <w:rFonts w:ascii="Tahoma" w:eastAsia="Calibri" w:hAnsi="Tahoma" w:cs="Tahoma"/>
          <w:sz w:val="18"/>
          <w:szCs w:val="18"/>
          <w:lang w:val="sr-Cyrl-BA"/>
        </w:rPr>
        <w:t>koncentrovane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supe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kuhinjske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soli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0,6%,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0,3%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jogurta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0,7%. </w:t>
      </w:r>
      <w:r>
        <w:rPr>
          <w:rFonts w:ascii="Tahoma" w:eastAsia="Calibri" w:hAnsi="Tahoma" w:cs="Tahoma"/>
          <w:sz w:val="18"/>
          <w:szCs w:val="18"/>
          <w:lang w:val="sr-Cyrl-BA"/>
        </w:rPr>
        <w:t>Sa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druge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strane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3,4%,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1,1%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1,6%,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bijelog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brašna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2,3%,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Šećer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džem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med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čokolada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šećera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0,6%.</w:t>
      </w:r>
      <w:r w:rsidR="00DC6B10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čokolade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prahu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1,5%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1,2%.</w:t>
      </w:r>
    </w:p>
    <w:p w:rsidR="005F14A0" w:rsidRPr="00E11BB8" w:rsidRDefault="005F14A0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3697" w:rsidRPr="00E11BB8" w:rsidRDefault="006A1C9B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0,1%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Nakit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satovi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0,8%.</w:t>
      </w:r>
    </w:p>
    <w:p w:rsidR="00E27853" w:rsidRPr="00E11BB8" w:rsidRDefault="00E27853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623697" w:rsidRPr="00E11BB8" w:rsidRDefault="006A1C9B" w:rsidP="0062369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karte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gradski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prevoz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Banjaluci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Goriva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3697" w:rsidRPr="00E11BB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maziva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odjeljak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Prevoz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eastAsia="Calibri" w:hAnsi="Tahoma" w:cs="Tahoma"/>
          <w:sz w:val="18"/>
          <w:szCs w:val="18"/>
          <w:lang w:val="sr-Cyrl-BA"/>
        </w:rPr>
        <w:t xml:space="preserve"> 0,3%. </w:t>
      </w:r>
    </w:p>
    <w:p w:rsidR="00F2773E" w:rsidRPr="00E11BB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2773E" w:rsidRPr="00E11BB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E11BB8" w:rsidRDefault="006A1C9B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lastRenderedPageBreak/>
        <w:t>Cijene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oktobru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CS"/>
        </w:rPr>
        <w:t>4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1561A7"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E11BB8" w:rsidRDefault="006A1C9B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oktobru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10,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: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9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 xml:space="preserve"> 8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5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3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3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>2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i/>
          <w:sz w:val="18"/>
          <w:szCs w:val="18"/>
          <w:lang w:val="sr-Cyrl-BA"/>
        </w:rPr>
        <w:t>3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>%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4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3%,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7D2F9C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0,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1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.</w:t>
      </w:r>
      <w:r w:rsidR="00F9515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3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B16A16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D2F9C" w:rsidRPr="00E11BB8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E11BB8">
        <w:rPr>
          <w:rFonts w:ascii="Tahoma" w:hAnsi="Tahoma" w:cs="Tahoma"/>
          <w:sz w:val="18"/>
          <w:szCs w:val="18"/>
          <w:lang w:val="sr-Cyrl-BA"/>
        </w:rPr>
        <w:t>6</w:t>
      </w:r>
      <w:r w:rsidR="00566311" w:rsidRPr="00E11BB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E11BB8">
        <w:rPr>
          <w:rFonts w:ascii="Tahoma" w:hAnsi="Tahoma" w:cs="Tahoma"/>
          <w:sz w:val="18"/>
          <w:szCs w:val="18"/>
          <w:lang w:val="sr-Cyrl-BA"/>
        </w:rPr>
        <w:t>8</w:t>
      </w:r>
      <w:r w:rsidR="001561A7" w:rsidRPr="00E11BB8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E11BB8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E11BB8" w:rsidRDefault="006A1C9B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5E0301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E11BB8">
        <w:rPr>
          <w:rFonts w:ascii="Tahoma" w:hAnsi="Tahoma" w:cs="Tahoma"/>
          <w:b/>
          <w:sz w:val="28"/>
          <w:szCs w:val="28"/>
          <w:lang w:val="sr-Cyrl-CS"/>
        </w:rPr>
        <w:t>(</w:t>
      </w:r>
      <w:r w:rsidR="00B648A4" w:rsidRPr="00E11BB8">
        <w:rPr>
          <w:rFonts w:ascii="Tahoma" w:hAnsi="Tahoma" w:cs="Tahoma"/>
          <w:b/>
          <w:sz w:val="28"/>
          <w:szCs w:val="28"/>
        </w:rPr>
        <w:t>X</w:t>
      </w:r>
      <w:r w:rsidR="00BE5202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E11BB8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E11BB8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E11BB8">
        <w:rPr>
          <w:rFonts w:ascii="Tahoma" w:hAnsi="Tahoma" w:cs="Tahoma"/>
          <w:b/>
          <w:sz w:val="28"/>
          <w:szCs w:val="28"/>
          <w:lang w:val="sr-Cyrl-CS"/>
        </w:rPr>
        <w:t>/</w:t>
      </w:r>
      <w:r w:rsidR="00824E12" w:rsidRPr="00E11BB8">
        <w:rPr>
          <w:rFonts w:ascii="Tahoma" w:hAnsi="Tahoma" w:cs="Tahoma"/>
          <w:b/>
          <w:sz w:val="28"/>
          <w:szCs w:val="28"/>
          <w:lang w:val="sr-Latn-CS"/>
        </w:rPr>
        <w:t>I</w:t>
      </w:r>
      <w:r w:rsidR="007A6DAD" w:rsidRPr="00E11BB8">
        <w:rPr>
          <w:rFonts w:ascii="Tahoma" w:hAnsi="Tahoma" w:cs="Tahoma"/>
          <w:b/>
          <w:sz w:val="28"/>
          <w:szCs w:val="28"/>
          <w:lang w:val="sr-Latn-CS"/>
        </w:rPr>
        <w:t>X</w:t>
      </w:r>
      <w:r w:rsidR="0009483B" w:rsidRPr="00E11BB8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E11BB8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E11BB8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E11BB8">
        <w:rPr>
          <w:rFonts w:ascii="Tahoma" w:hAnsi="Tahoma" w:cs="Tahoma"/>
          <w:b/>
          <w:sz w:val="28"/>
          <w:szCs w:val="28"/>
          <w:lang w:val="sr-Cyrl-CS"/>
        </w:rPr>
        <w:t>)</w:t>
      </w:r>
      <w:r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FF2941" w:rsidRPr="00E11BB8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48A4" w:rsidRPr="00E11BB8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E11BB8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E11BB8" w:rsidRDefault="001B32B9" w:rsidP="0020048F">
      <w:pPr>
        <w:jc w:val="both"/>
        <w:rPr>
          <w:rFonts w:ascii="Tahoma" w:hAnsi="Tahoma" w:cs="Tahoma"/>
          <w:lang w:val="sr-Cyrl-CS"/>
        </w:rPr>
      </w:pPr>
    </w:p>
    <w:p w:rsidR="007A6DAD" w:rsidRPr="00E11BB8" w:rsidRDefault="006A1C9B" w:rsidP="007A6DAD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7A6DAD" w:rsidRPr="00E11BB8">
        <w:rPr>
          <w:rFonts w:ascii="Tahoma" w:hAnsi="Tahoma" w:cs="Tahoma"/>
          <w:sz w:val="18"/>
          <w:szCs w:val="18"/>
        </w:rPr>
        <w:t>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7A6DAD" w:rsidRPr="00E11BB8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>20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11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7A6DAD"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>201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>.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0,1%</w:t>
      </w:r>
      <w:r w:rsidR="007A6DAD" w:rsidRPr="00E11BB8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4,0%.</w:t>
      </w:r>
    </w:p>
    <w:p w:rsidR="00AC084B" w:rsidRPr="00E11BB8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B648A4" w:rsidRPr="00E11BB8" w:rsidRDefault="006A1C9B" w:rsidP="00B648A4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>20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11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7A6DAD"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hr-HR"/>
        </w:rPr>
        <w:t>201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A6DAD"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7A6DAD"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7A6DAD" w:rsidRPr="00E11BB8">
        <w:rPr>
          <w:rFonts w:ascii="Tahoma" w:hAnsi="Tahoma" w:cs="Tahoma"/>
          <w:sz w:val="18"/>
          <w:szCs w:val="18"/>
        </w:rPr>
        <w:t>8</w:t>
      </w:r>
      <w:r w:rsidR="007A6DAD" w:rsidRPr="00E11BB8">
        <w:rPr>
          <w:rFonts w:ascii="Tahoma" w:hAnsi="Tahoma" w:cs="Tahoma"/>
          <w:sz w:val="18"/>
          <w:szCs w:val="18"/>
          <w:lang w:val="sr-Latn-CS"/>
        </w:rPr>
        <w:t>%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A6DAD"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0,7%,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E11BB8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0A5A0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E11BB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E11BB8">
        <w:rPr>
          <w:rFonts w:ascii="Tahoma" w:hAnsi="Tahoma" w:cs="Tahoma"/>
          <w:sz w:val="18"/>
          <w:szCs w:val="18"/>
          <w:lang w:val="sr-Cyrl-CS"/>
        </w:rPr>
        <w:t xml:space="preserve"> 11,5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112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112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5,1</w:t>
      </w:r>
      <w:r w:rsidR="00A1128C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>5,0</w:t>
      </w:r>
      <w:r w:rsidR="00EB7E5A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A5A0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0A5A0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A2389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A6DAD" w:rsidRPr="00E11BB8">
        <w:rPr>
          <w:rFonts w:ascii="Tahoma" w:hAnsi="Tahoma" w:cs="Tahoma"/>
          <w:sz w:val="18"/>
          <w:szCs w:val="18"/>
          <w:lang w:val="sr-Cyrl-CS"/>
        </w:rPr>
        <w:t xml:space="preserve"> 2,1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E11BB8">
        <w:rPr>
          <w:rFonts w:ascii="Tahoma" w:hAnsi="Tahoma" w:cs="Tahoma"/>
          <w:sz w:val="18"/>
          <w:szCs w:val="18"/>
          <w:lang w:val="sr-Cyrl-CS"/>
        </w:rPr>
        <w:t xml:space="preserve"> 0,4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E11BB8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E025CC" w:rsidRPr="00E11BB8" w:rsidRDefault="006A1C9B" w:rsidP="00E025CC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(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PRODCOM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>)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25CC" w:rsidRPr="00E11BB8">
        <w:rPr>
          <w:rFonts w:ascii="Tahoma" w:hAnsi="Tahoma" w:cs="Tahoma"/>
          <w:sz w:val="18"/>
          <w:szCs w:val="18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)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E025CC" w:rsidRPr="00E11BB8">
        <w:rPr>
          <w:rFonts w:ascii="Tahoma" w:hAnsi="Tahoma" w:cs="Tahoma"/>
          <w:sz w:val="18"/>
          <w:szCs w:val="18"/>
        </w:rPr>
        <w:t>,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>20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11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E025CC" w:rsidRPr="00E11BB8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>201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E025CC" w:rsidRPr="00E11BB8">
        <w:rPr>
          <w:rFonts w:ascii="Tahoma" w:hAnsi="Tahoma" w:cs="Tahoma"/>
          <w:sz w:val="18"/>
          <w:szCs w:val="18"/>
          <w:lang w:val="hr-HR"/>
        </w:rPr>
        <w:t>.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E025CC" w:rsidRPr="00E11BB8">
        <w:rPr>
          <w:rFonts w:ascii="Tahoma" w:hAnsi="Tahoma" w:cs="Tahoma"/>
          <w:sz w:val="18"/>
          <w:szCs w:val="18"/>
          <w:lang w:val="sr-Latn-CS"/>
        </w:rPr>
        <w:t>,7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snabdjevanje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0,5%, 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25CC" w:rsidRPr="00E11B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sr-Latn-CS"/>
        </w:rPr>
        <w:t>0,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E025CC" w:rsidRPr="00E11BB8">
        <w:rPr>
          <w:rFonts w:ascii="Tahoma" w:hAnsi="Tahoma" w:cs="Tahoma"/>
          <w:sz w:val="18"/>
          <w:szCs w:val="18"/>
          <w:lang w:val="sr-Latn-CS"/>
        </w:rPr>
        <w:t>%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C0614D" w:rsidRPr="00E11BB8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>20</w:t>
      </w:r>
      <w:r w:rsidR="00A507FC" w:rsidRPr="00E11BB8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7D156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>20</w:t>
      </w:r>
      <w:r w:rsidR="00A507FC" w:rsidRPr="00E11BB8">
        <w:rPr>
          <w:rFonts w:ascii="Tahoma" w:hAnsi="Tahoma" w:cs="Tahoma"/>
          <w:sz w:val="18"/>
          <w:szCs w:val="18"/>
          <w:lang w:val="sr-Cyrl-CS"/>
        </w:rPr>
        <w:t>10</w:t>
      </w:r>
      <w:r w:rsidR="005E0301" w:rsidRPr="00E11BB8">
        <w:rPr>
          <w:rFonts w:ascii="Tahoma" w:hAnsi="Tahoma" w:cs="Tahoma"/>
          <w:sz w:val="18"/>
          <w:szCs w:val="18"/>
          <w:lang w:val="hr-HR"/>
        </w:rPr>
        <w:t>.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E11BB8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5460E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5460E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5460E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45C9" w:rsidRPr="00E11BB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D4C8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>14,0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5323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B5460E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E025C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E025C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4,0</w:t>
      </w:r>
      <w:r w:rsidR="00305B23" w:rsidRPr="00E11BB8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05B23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05B23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05B23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5E0301" w:rsidRPr="00E11BB8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E11BB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25CC" w:rsidRPr="00E11BB8">
        <w:rPr>
          <w:rFonts w:ascii="Tahoma" w:hAnsi="Tahoma" w:cs="Tahoma"/>
          <w:sz w:val="18"/>
          <w:szCs w:val="18"/>
          <w:lang w:val="sr-Cyrl-CS"/>
        </w:rPr>
        <w:t xml:space="preserve"> 1,2 </w:t>
      </w:r>
      <w:r w:rsidR="005E0301" w:rsidRPr="00E11BB8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E11BB8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E11BB8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E11BB8" w:rsidRDefault="006A1C9B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E578C7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61921" w:rsidRPr="00E11BB8">
        <w:rPr>
          <w:rFonts w:ascii="Tahoma" w:hAnsi="Tahoma" w:cs="Tahoma"/>
          <w:b/>
          <w:spacing w:val="-4"/>
          <w:sz w:val="28"/>
          <w:szCs w:val="28"/>
        </w:rPr>
        <w:t>X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E11BB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554EB1" w:rsidRPr="00E11BB8">
        <w:rPr>
          <w:rFonts w:ascii="Tahoma" w:hAnsi="Tahoma" w:cs="Tahoma"/>
          <w:b/>
          <w:bCs/>
          <w:spacing w:val="-4"/>
          <w:sz w:val="28"/>
          <w:szCs w:val="28"/>
        </w:rPr>
        <w:t>10</w:t>
      </w:r>
      <w:r w:rsidR="005E0301" w:rsidRPr="00E11BB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554EB1" w:rsidRPr="00E11BB8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="005E0301" w:rsidRPr="00E11BB8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E11BB8" w:rsidRDefault="006A1C9B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5E0301" w:rsidRPr="00E11BB8">
        <w:rPr>
          <w:rFonts w:ascii="Tahoma" w:hAnsi="Tahoma" w:cs="Tahoma"/>
          <w:sz w:val="24"/>
          <w:szCs w:val="24"/>
          <w:lang w:val="sr-Latn-BA"/>
        </w:rPr>
        <w:t xml:space="preserve"> (</w:t>
      </w:r>
      <w:r>
        <w:rPr>
          <w:rFonts w:ascii="Tahoma" w:hAnsi="Tahoma" w:cs="Tahoma"/>
          <w:sz w:val="24"/>
          <w:szCs w:val="24"/>
          <w:lang w:val="sr-Cyrl-CS"/>
        </w:rPr>
        <w:t>H</w:t>
      </w:r>
      <w:r w:rsidR="005E0301" w:rsidRPr="00E11BB8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5E0301" w:rsidRPr="00E11BB8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E11BB8">
        <w:rPr>
          <w:rFonts w:ascii="Tahoma" w:hAnsi="Tahoma" w:cs="Tahoma"/>
          <w:sz w:val="24"/>
          <w:szCs w:val="24"/>
          <w:lang w:val="sr-Cyrl-CS"/>
        </w:rPr>
        <w:t>1</w:t>
      </w:r>
      <w:r w:rsidR="005E0301" w:rsidRPr="00E11BB8">
        <w:rPr>
          <w:rFonts w:ascii="Tahoma" w:hAnsi="Tahoma" w:cs="Tahoma"/>
          <w:sz w:val="24"/>
          <w:szCs w:val="24"/>
          <w:lang w:val="sr-Latn-BA"/>
        </w:rPr>
        <w:t>/</w:t>
      </w:r>
      <w:r w:rsidR="005E0301" w:rsidRPr="00E11BB8">
        <w:rPr>
          <w:rFonts w:ascii="Tahoma" w:hAnsi="Tahoma" w:cs="Tahoma"/>
          <w:bCs/>
          <w:sz w:val="24"/>
          <w:szCs w:val="24"/>
        </w:rPr>
        <w:sym w:font="Symbol" w:char="F0C6"/>
      </w:r>
      <w:r w:rsidR="005E0301" w:rsidRPr="00E11BB8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5E0301" w:rsidRPr="00E11BB8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E11BB8">
        <w:rPr>
          <w:rFonts w:ascii="Tahoma" w:hAnsi="Tahoma" w:cs="Tahoma"/>
          <w:bCs/>
          <w:sz w:val="24"/>
          <w:szCs w:val="24"/>
          <w:lang w:val="ru-RU"/>
        </w:rPr>
        <w:t>1</w:t>
      </w:r>
      <w:r w:rsidR="005E0301" w:rsidRPr="00E11BB8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E11BB8">
        <w:rPr>
          <w:rFonts w:ascii="Tahoma" w:hAnsi="Tahoma" w:cs="Tahoma"/>
          <w:bCs/>
          <w:sz w:val="24"/>
          <w:szCs w:val="24"/>
          <w:lang w:val="ru-RU"/>
        </w:rPr>
        <w:t>.</w:t>
      </w:r>
      <w:r w:rsidR="005E0301" w:rsidRPr="00E11BB8">
        <w:rPr>
          <w:rFonts w:ascii="Tahoma" w:hAnsi="Tahoma" w:cs="Tahoma"/>
          <w:bCs/>
          <w:sz w:val="24"/>
          <w:szCs w:val="24"/>
          <w:lang w:val="hr-HR"/>
        </w:rPr>
        <w:t>)</w:t>
      </w:r>
      <w:r w:rsidR="005E0301" w:rsidRPr="00E11BB8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 xml:space="preserve"> </w:t>
      </w:r>
      <w:r w:rsidR="0066355A" w:rsidRPr="00E11BB8">
        <w:rPr>
          <w:rFonts w:ascii="Tahoma" w:hAnsi="Tahoma" w:cs="Tahoma"/>
          <w:sz w:val="24"/>
          <w:szCs w:val="24"/>
          <w:lang w:val="sr-Cyrl-CS"/>
        </w:rPr>
        <w:t>2</w:t>
      </w:r>
      <w:r w:rsidR="005E0301" w:rsidRPr="00E11BB8">
        <w:rPr>
          <w:rFonts w:ascii="Tahoma" w:hAnsi="Tahoma" w:cs="Tahoma"/>
          <w:sz w:val="24"/>
          <w:szCs w:val="24"/>
          <w:lang w:val="sr-Cyrl-BA"/>
        </w:rPr>
        <w:t>,</w:t>
      </w:r>
      <w:r w:rsidR="00CF2D6E" w:rsidRPr="00E11BB8">
        <w:rPr>
          <w:rFonts w:ascii="Tahoma" w:hAnsi="Tahoma" w:cs="Tahoma"/>
          <w:sz w:val="24"/>
          <w:szCs w:val="24"/>
        </w:rPr>
        <w:t>7</w:t>
      </w:r>
      <w:r w:rsidR="005E0301" w:rsidRPr="00E11BB8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E11BB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5E0301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E11BB8">
        <w:rPr>
          <w:rFonts w:ascii="Tahoma" w:hAnsi="Tahoma" w:cs="Tahoma"/>
          <w:sz w:val="18"/>
          <w:szCs w:val="18"/>
          <w:lang w:val="ru-RU"/>
        </w:rPr>
        <w:t>1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veća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10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8</w:t>
      </w:r>
      <w:r w:rsidR="005E0301" w:rsidRPr="00E11BB8">
        <w:rPr>
          <w:rFonts w:ascii="Tahoma" w:hAnsi="Tahoma" w:cs="Tahoma"/>
          <w:sz w:val="18"/>
          <w:szCs w:val="18"/>
          <w:lang w:val="ru-RU"/>
        </w:rPr>
        <w:t>%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7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4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>%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5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9</w:t>
      </w:r>
      <w:r w:rsidR="00621277"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E11BB8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C5FA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61921" w:rsidRPr="00E11BB8">
        <w:rPr>
          <w:rFonts w:ascii="Tahoma" w:hAnsi="Tahoma" w:cs="Tahoma"/>
          <w:sz w:val="18"/>
          <w:szCs w:val="18"/>
          <w:lang w:val="sr-Cyrl-BA"/>
        </w:rPr>
        <w:t>6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>7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2F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2F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2F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2F94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21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>,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4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6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2F94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>3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,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>5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E11BB8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E11BB8" w:rsidRDefault="006A1C9B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35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F5375" w:rsidRPr="00E11BB8">
        <w:rPr>
          <w:rFonts w:ascii="Tahoma" w:hAnsi="Tahoma" w:cs="Tahoma"/>
          <w:sz w:val="18"/>
          <w:szCs w:val="18"/>
          <w:lang w:val="sr-Cyrl-BA"/>
        </w:rPr>
        <w:t>8</w:t>
      </w:r>
      <w:r w:rsidR="008E6F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2F5375" w:rsidRPr="00E11BB8">
        <w:rPr>
          <w:rFonts w:ascii="Tahoma" w:hAnsi="Tahoma" w:cs="Tahoma"/>
          <w:sz w:val="18"/>
          <w:szCs w:val="18"/>
          <w:lang w:val="sr-Cyrl-BA"/>
        </w:rPr>
        <w:t>3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>%</w:t>
      </w:r>
      <w:r w:rsidR="00161921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554EB1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554EB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 xml:space="preserve"> 6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>,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6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2F94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D27D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E6F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E11BB8">
        <w:rPr>
          <w:rFonts w:ascii="Tahoma" w:hAnsi="Tahoma" w:cs="Tahoma"/>
          <w:sz w:val="18"/>
          <w:szCs w:val="18"/>
          <w:lang w:val="ru-RU"/>
        </w:rPr>
        <w:t>3</w:t>
      </w:r>
      <w:r w:rsidR="00C42F94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2F5375" w:rsidRPr="00E11BB8">
        <w:rPr>
          <w:rFonts w:ascii="Tahoma" w:hAnsi="Tahoma" w:cs="Tahoma"/>
          <w:sz w:val="18"/>
          <w:szCs w:val="18"/>
          <w:lang w:val="sr-Cyrl-CS"/>
        </w:rPr>
        <w:t>5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715D3A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715D3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FD27D1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903A70">
        <w:rPr>
          <w:rFonts w:ascii="Tahoma" w:hAnsi="Tahoma" w:cs="Tahoma"/>
          <w:sz w:val="18"/>
          <w:szCs w:val="18"/>
          <w:lang w:val="ru-RU"/>
        </w:rPr>
        <w:t xml:space="preserve"> 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6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,</w:t>
      </w:r>
      <w:r w:rsidR="002F5375" w:rsidRPr="00E11BB8">
        <w:rPr>
          <w:rFonts w:ascii="Tahoma" w:hAnsi="Tahoma" w:cs="Tahoma"/>
          <w:sz w:val="18"/>
          <w:szCs w:val="18"/>
          <w:lang w:val="ru-RU"/>
        </w:rPr>
        <w:t>1</w:t>
      </w:r>
      <w:r w:rsidR="00C42F94" w:rsidRPr="00E11BB8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E11BB8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5029D8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5029D8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5029D8" w:rsidRPr="00E11BB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oktobru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 xml:space="preserve"> 0,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4</w:t>
      </w:r>
      <w:r w:rsidR="0066355A" w:rsidRPr="00E11BB8">
        <w:rPr>
          <w:rFonts w:ascii="Tahoma" w:hAnsi="Tahoma" w:cs="Tahoma"/>
          <w:sz w:val="18"/>
          <w:szCs w:val="18"/>
          <w:lang w:val="ru-RU"/>
        </w:rPr>
        <w:t>%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E11BB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5029D8" w:rsidRPr="00E11BB8">
        <w:rPr>
          <w:rFonts w:ascii="Tahoma" w:hAnsi="Tahoma" w:cs="Tahoma"/>
          <w:sz w:val="18"/>
          <w:szCs w:val="18"/>
          <w:lang w:val="sr-Cyrl-CS"/>
        </w:rPr>
        <w:t>%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31EFB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31EFB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31EFB" w:rsidRPr="00E11BB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249E3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CF2D6E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5A2DAC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5029D8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5029D8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5029D8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5029D8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5029D8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49E3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E11BB8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431EFB" w:rsidRPr="00E11BB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431EFB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3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>,</w:t>
      </w:r>
      <w:r w:rsidR="00CF2D6E" w:rsidRPr="00E11BB8">
        <w:rPr>
          <w:rFonts w:ascii="Tahoma" w:hAnsi="Tahoma" w:cs="Tahoma"/>
          <w:sz w:val="18"/>
          <w:szCs w:val="18"/>
          <w:lang w:val="ru-RU"/>
        </w:rPr>
        <w:t>1</w:t>
      </w:r>
      <w:r w:rsidR="00431EFB" w:rsidRPr="00E11BB8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E11BB8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7F09DE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6A1C9B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6A1C9B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6A1C9B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6A1C9B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6A1C9B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17306E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17306E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17306E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B61FD5" w:rsidRPr="00E11BB8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B61FD5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periodu</w:t>
      </w:r>
      <w:r w:rsidR="00B61FD5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B61FD5" w:rsidRPr="00E11BB8">
        <w:rPr>
          <w:rFonts w:ascii="Tahoma" w:hAnsi="Tahoma" w:cs="Tahoma"/>
          <w:b/>
          <w:sz w:val="28"/>
          <w:szCs w:val="28"/>
        </w:rPr>
        <w:t>I</w:t>
      </w:r>
      <w:r w:rsidR="00B61FD5" w:rsidRPr="00E11BB8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C80EE0" w:rsidRPr="00E11BB8">
        <w:rPr>
          <w:rFonts w:ascii="Tahoma" w:hAnsi="Tahoma" w:cs="Tahoma"/>
          <w:b/>
          <w:sz w:val="28"/>
          <w:szCs w:val="28"/>
        </w:rPr>
        <w:t>X</w:t>
      </w:r>
      <w:r w:rsidR="00B61FD5" w:rsidRPr="00E11BB8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B61FD5" w:rsidRPr="00E11BB8">
        <w:rPr>
          <w:rFonts w:ascii="Tahoma" w:hAnsi="Tahoma" w:cs="Tahoma"/>
          <w:b/>
          <w:sz w:val="28"/>
          <w:szCs w:val="28"/>
          <w:lang w:val="sr-Cyrl-BA"/>
        </w:rPr>
        <w:t>)</w:t>
      </w:r>
      <w:r w:rsidR="00B61FD5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E11BB8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E11BB8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E11BB8">
        <w:rPr>
          <w:rFonts w:ascii="Tahoma" w:hAnsi="Tahoma" w:cs="Tahoma"/>
          <w:b/>
          <w:sz w:val="28"/>
          <w:szCs w:val="28"/>
          <w:lang w:val="ru-RU"/>
        </w:rPr>
        <w:t>,</w:t>
      </w:r>
      <w:r w:rsidR="001D2625" w:rsidRPr="00E11BB8">
        <w:rPr>
          <w:rFonts w:ascii="Tahoma" w:hAnsi="Tahoma" w:cs="Tahoma"/>
          <w:b/>
          <w:sz w:val="28"/>
          <w:szCs w:val="28"/>
        </w:rPr>
        <w:t>1</w:t>
      </w:r>
      <w:r w:rsidR="005E1630" w:rsidRPr="00E11BB8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17306E" w:rsidRPr="00E11BB8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17306E" w:rsidRPr="00E11BB8">
        <w:rPr>
          <w:rFonts w:ascii="Tahoma" w:hAnsi="Tahoma" w:cs="Tahoma"/>
          <w:sz w:val="24"/>
          <w:szCs w:val="24"/>
          <w:lang w:val="hr-HR"/>
        </w:rPr>
        <w:t>(I</w:t>
      </w:r>
      <w:r w:rsidR="004A3DCE" w:rsidRPr="00E11BB8">
        <w:rPr>
          <w:rFonts w:ascii="Tahoma" w:hAnsi="Tahoma" w:cs="Tahoma"/>
          <w:sz w:val="24"/>
          <w:szCs w:val="24"/>
          <w:lang w:val="hr-HR"/>
        </w:rPr>
        <w:t>-</w:t>
      </w:r>
      <w:r w:rsidR="00C80EE0" w:rsidRPr="00E11BB8">
        <w:rPr>
          <w:rFonts w:ascii="Tahoma" w:hAnsi="Tahoma" w:cs="Tahoma"/>
          <w:sz w:val="24"/>
          <w:szCs w:val="24"/>
          <w:lang w:val="hr-HR"/>
        </w:rPr>
        <w:t>X</w:t>
      </w:r>
      <w:r w:rsidR="0017306E" w:rsidRPr="00E11BB8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E11BB8">
        <w:rPr>
          <w:rFonts w:ascii="Tahoma" w:hAnsi="Tahoma" w:cs="Tahoma"/>
          <w:sz w:val="24"/>
          <w:szCs w:val="24"/>
          <w:lang w:val="hr-HR"/>
        </w:rPr>
        <w:t>-</w:t>
      </w:r>
      <w:r w:rsidR="00C80EE0" w:rsidRPr="00E11BB8">
        <w:rPr>
          <w:rFonts w:ascii="Tahoma" w:hAnsi="Tahoma" w:cs="Tahoma"/>
          <w:sz w:val="24"/>
          <w:szCs w:val="24"/>
          <w:lang w:val="hr-HR"/>
        </w:rPr>
        <w:t>X</w:t>
      </w:r>
      <w:r w:rsidR="0017306E" w:rsidRPr="00E11BB8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E11BB8">
        <w:rPr>
          <w:rFonts w:ascii="Tahoma" w:hAnsi="Tahoma" w:cs="Tahoma"/>
          <w:sz w:val="24"/>
          <w:szCs w:val="24"/>
          <w:lang w:val="sr-Cyrl-CS"/>
        </w:rPr>
        <w:t>.</w:t>
      </w:r>
      <w:r w:rsidR="0017306E" w:rsidRPr="00E11BB8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17306E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B040ED" w:rsidRPr="00E11BB8">
        <w:rPr>
          <w:rFonts w:ascii="Tahoma" w:hAnsi="Tahoma" w:cs="Tahoma"/>
          <w:sz w:val="24"/>
          <w:szCs w:val="24"/>
        </w:rPr>
        <w:t>1</w:t>
      </w:r>
      <w:r w:rsidR="00C80EE0" w:rsidRPr="00E11BB8">
        <w:rPr>
          <w:rFonts w:ascii="Tahoma" w:hAnsi="Tahoma" w:cs="Tahoma"/>
          <w:sz w:val="24"/>
          <w:szCs w:val="24"/>
          <w:lang w:val="sr-Cyrl-BA"/>
        </w:rPr>
        <w:t>8</w:t>
      </w:r>
      <w:r w:rsidR="0017306E" w:rsidRPr="00E11BB8">
        <w:rPr>
          <w:rFonts w:ascii="Tahoma" w:hAnsi="Tahoma" w:cs="Tahoma"/>
          <w:sz w:val="24"/>
          <w:szCs w:val="24"/>
          <w:lang w:val="ru-RU"/>
        </w:rPr>
        <w:t>,</w:t>
      </w:r>
      <w:r w:rsidR="001D2625" w:rsidRPr="00E11BB8">
        <w:rPr>
          <w:rFonts w:ascii="Tahoma" w:hAnsi="Tahoma" w:cs="Tahoma"/>
          <w:sz w:val="24"/>
          <w:szCs w:val="24"/>
        </w:rPr>
        <w:t>5</w:t>
      </w:r>
      <w:r w:rsidR="0017306E" w:rsidRPr="00E11BB8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17306E" w:rsidRPr="00E11BB8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11CC7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oktobru</w:t>
      </w:r>
      <w:r w:rsidR="00C80EE0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57853" w:rsidRPr="00E11BB8">
        <w:rPr>
          <w:rFonts w:ascii="Tahoma" w:hAnsi="Tahoma" w:cs="Tahoma"/>
          <w:sz w:val="18"/>
          <w:szCs w:val="18"/>
          <w:lang w:val="sr-Cyrl-BA"/>
        </w:rPr>
        <w:t>5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>5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C80EE0" w:rsidRPr="00E11BB8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oktobru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>21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397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6A5F98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E11BB8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1D2625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A2380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132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584618" w:rsidRPr="00E11BB8">
        <w:rPr>
          <w:rFonts w:ascii="Tahoma" w:hAnsi="Tahoma" w:cs="Tahoma"/>
          <w:sz w:val="18"/>
          <w:szCs w:val="18"/>
        </w:rPr>
        <w:t>a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5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3</w:t>
      </w:r>
      <w:r w:rsidR="00E9755F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 733</w:t>
      </w:r>
      <w:r w:rsidR="00A57853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B61FD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6A1C9B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0F42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bs-Cyrl-BA"/>
        </w:rPr>
        <w:t>deset</w:t>
      </w:r>
      <w:r w:rsidR="003B0DFC" w:rsidRPr="00E11BB8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E11BB8">
        <w:rPr>
          <w:rFonts w:ascii="Tahoma" w:hAnsi="Tahoma" w:cs="Tahoma"/>
          <w:sz w:val="18"/>
          <w:szCs w:val="18"/>
          <w:lang w:val="ru-RU"/>
        </w:rPr>
        <w:t>5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>7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>,</w:t>
      </w:r>
      <w:r w:rsidR="001D2625" w:rsidRPr="00E11BB8">
        <w:rPr>
          <w:rFonts w:ascii="Tahoma" w:hAnsi="Tahoma" w:cs="Tahoma"/>
          <w:sz w:val="18"/>
          <w:szCs w:val="18"/>
          <w:lang w:val="ru-RU"/>
        </w:rPr>
        <w:t>1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57853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57853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ru-RU"/>
        </w:rPr>
        <w:t>601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E11BB8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E11BB8" w:rsidRDefault="006A1C9B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17306E" w:rsidRPr="00E11BB8">
        <w:rPr>
          <w:rFonts w:ascii="Tahoma" w:hAnsi="Tahoma" w:cs="Tahoma"/>
          <w:szCs w:val="18"/>
        </w:rPr>
        <w:t>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17306E" w:rsidRPr="00E11BB8">
        <w:rPr>
          <w:rFonts w:ascii="Tahoma" w:hAnsi="Tahoma" w:cs="Tahoma"/>
          <w:szCs w:val="18"/>
        </w:rPr>
        <w:t>e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17306E" w:rsidRPr="00E11BB8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17306E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B61FD5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B61FD5" w:rsidRPr="00E11BB8">
        <w:rPr>
          <w:rFonts w:ascii="Tahoma" w:hAnsi="Tahoma" w:cs="Tahoma"/>
          <w:szCs w:val="18"/>
          <w:lang w:val="ru-RU"/>
        </w:rPr>
        <w:t xml:space="preserve"> </w:t>
      </w:r>
      <w:r w:rsidR="003B0DFC" w:rsidRPr="00E11BB8">
        <w:rPr>
          <w:rFonts w:ascii="Tahoma" w:hAnsi="Tahoma" w:cs="Tahoma"/>
          <w:szCs w:val="18"/>
          <w:lang w:val="ru-RU"/>
        </w:rPr>
        <w:t>–</w:t>
      </w:r>
      <w:r w:rsidR="008D6AC0" w:rsidRPr="00E11BB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oktobar</w:t>
      </w:r>
      <w:r w:rsidR="00C80EE0" w:rsidRPr="00E11BB8">
        <w:rPr>
          <w:rFonts w:ascii="Tahoma" w:hAnsi="Tahoma" w:cs="Tahoma"/>
          <w:szCs w:val="18"/>
          <w:lang w:val="ru-RU"/>
        </w:rPr>
        <w:t xml:space="preserve"> </w:t>
      </w:r>
      <w:r w:rsidR="0017306E" w:rsidRPr="00E11BB8">
        <w:rPr>
          <w:rFonts w:ascii="Tahoma" w:hAnsi="Tahoma" w:cs="Tahoma"/>
          <w:szCs w:val="18"/>
          <w:lang w:val="sr-Cyrl-CS"/>
        </w:rPr>
        <w:t xml:space="preserve">2011. </w:t>
      </w:r>
      <w:r>
        <w:rPr>
          <w:rFonts w:ascii="Tahoma" w:hAnsi="Tahoma" w:cs="Tahoma"/>
          <w:szCs w:val="18"/>
          <w:lang w:val="sr-Cyrl-CS"/>
        </w:rPr>
        <w:t>godine</w:t>
      </w:r>
      <w:r w:rsidR="0017306E" w:rsidRPr="00E11BB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B61FD5" w:rsidRPr="00E11BB8">
        <w:rPr>
          <w:rFonts w:ascii="Tahoma" w:hAnsi="Tahoma" w:cs="Tahoma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Cs w:val="18"/>
          <w:lang w:val="sr-Cyrl-CS"/>
        </w:rPr>
        <w:t>389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17306E" w:rsidRPr="00E11BB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1</w:t>
      </w:r>
      <w:r w:rsidR="001D2625" w:rsidRPr="00E11BB8">
        <w:rPr>
          <w:rFonts w:ascii="Tahoma" w:hAnsi="Tahoma" w:cs="Tahoma"/>
          <w:szCs w:val="18"/>
          <w:lang w:val="sr-Cyrl-CS"/>
        </w:rPr>
        <w:t>8</w:t>
      </w:r>
      <w:r w:rsidR="0017306E" w:rsidRPr="00E11BB8">
        <w:rPr>
          <w:rFonts w:ascii="Tahoma" w:hAnsi="Tahoma" w:cs="Tahoma"/>
          <w:szCs w:val="18"/>
          <w:lang w:val="sr-Cyrl-CS"/>
        </w:rPr>
        <w:t>,</w:t>
      </w:r>
      <w:r w:rsidR="001D2625" w:rsidRPr="00E11BB8">
        <w:rPr>
          <w:rFonts w:ascii="Tahoma" w:hAnsi="Tahoma" w:cs="Tahoma"/>
          <w:szCs w:val="18"/>
          <w:lang w:val="sr-Cyrl-CS"/>
        </w:rPr>
        <w:t>3</w:t>
      </w:r>
      <w:r w:rsidR="0017306E" w:rsidRPr="00E11BB8">
        <w:rPr>
          <w:rFonts w:ascii="Tahoma" w:hAnsi="Tahoma" w:cs="Tahoma"/>
          <w:szCs w:val="18"/>
          <w:lang w:val="sr-Cyrl-CS"/>
        </w:rPr>
        <w:t>%</w:t>
      </w:r>
      <w:r w:rsidR="0017306E" w:rsidRPr="00E11BB8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17306E" w:rsidRPr="00E11BB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Cs w:val="18"/>
          <w:lang w:val="sr-Cyrl-CS"/>
        </w:rPr>
        <w:t>307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B040ED" w:rsidRPr="00E11BB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B040ED" w:rsidRPr="00E11BB8">
        <w:rPr>
          <w:rFonts w:ascii="Tahoma" w:hAnsi="Tahoma" w:cs="Tahoma"/>
          <w:szCs w:val="18"/>
          <w:lang w:val="sr-Cyrl-CS"/>
        </w:rPr>
        <w:t xml:space="preserve"> 1</w:t>
      </w:r>
      <w:r w:rsidR="003B0DFC" w:rsidRPr="00E11BB8">
        <w:rPr>
          <w:rFonts w:ascii="Tahoma" w:hAnsi="Tahoma" w:cs="Tahoma"/>
          <w:szCs w:val="18"/>
          <w:lang w:val="sr-Cyrl-CS"/>
        </w:rPr>
        <w:t>4</w:t>
      </w:r>
      <w:r w:rsidR="008D6AC0" w:rsidRPr="00E11BB8">
        <w:rPr>
          <w:rFonts w:ascii="Tahoma" w:hAnsi="Tahoma" w:cs="Tahoma"/>
          <w:szCs w:val="18"/>
          <w:lang w:val="sr-Cyrl-CS"/>
        </w:rPr>
        <w:t>,</w:t>
      </w:r>
      <w:r w:rsidR="00C80EE0" w:rsidRPr="00E11BB8">
        <w:rPr>
          <w:rFonts w:ascii="Tahoma" w:hAnsi="Tahoma" w:cs="Tahoma"/>
          <w:szCs w:val="18"/>
          <w:lang w:val="sr-Cyrl-CS"/>
        </w:rPr>
        <w:t>4</w:t>
      </w:r>
      <w:r w:rsidR="0017306E" w:rsidRPr="00E11BB8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17306E" w:rsidRPr="00E11BB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17306E" w:rsidRPr="00E11BB8">
        <w:rPr>
          <w:rFonts w:ascii="Tahoma" w:hAnsi="Tahoma" w:cs="Tahoma"/>
          <w:szCs w:val="18"/>
          <w:lang w:val="sr-Cyrl-CS"/>
        </w:rPr>
        <w:t>.</w:t>
      </w:r>
    </w:p>
    <w:p w:rsidR="0017306E" w:rsidRPr="00E11BB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 xml:space="preserve"> 14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053E5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D6AC0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E11BB8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6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>9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1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5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E11BB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E11BB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E11BB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E11BB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E11BB8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E11BB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8D6AC0" w:rsidRPr="00E11BB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8D6AC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E11BB8">
        <w:rPr>
          <w:rFonts w:ascii="Tahoma" w:hAnsi="Tahoma" w:cs="Tahoma"/>
          <w:sz w:val="18"/>
          <w:szCs w:val="18"/>
          <w:lang w:val="ru-RU"/>
        </w:rPr>
        <w:t>–</w:t>
      </w:r>
      <w:r w:rsidR="008D6AC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C80EE0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E11BB8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E11BB8">
        <w:rPr>
          <w:rFonts w:ascii="Tahoma" w:hAnsi="Tahoma" w:cs="Tahoma"/>
          <w:sz w:val="18"/>
          <w:szCs w:val="18"/>
          <w:lang w:val="sr-Cyrl-CS"/>
        </w:rPr>
        <w:t>311</w:t>
      </w:r>
      <w:r w:rsidR="003B0DFC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E11BB8">
        <w:rPr>
          <w:rFonts w:ascii="Tahoma" w:hAnsi="Tahoma" w:cs="Tahoma"/>
          <w:sz w:val="18"/>
          <w:szCs w:val="18"/>
          <w:lang w:val="sr-Cyrl-CS"/>
        </w:rPr>
        <w:t>4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>,</w:t>
      </w:r>
      <w:r w:rsidR="00A13AB5" w:rsidRPr="00E11BB8">
        <w:rPr>
          <w:rFonts w:ascii="Tahoma" w:hAnsi="Tahoma" w:cs="Tahoma"/>
          <w:sz w:val="18"/>
          <w:szCs w:val="18"/>
          <w:lang w:val="sr-Cyrl-CS"/>
        </w:rPr>
        <w:t>6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E11BB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17306E" w:rsidRPr="00E11BB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997</w:t>
      </w:r>
      <w:r w:rsidR="00E9755F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E11BB8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6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>,</w:t>
      </w:r>
      <w:r w:rsidR="00A13AB5" w:rsidRPr="00E11BB8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3B0DFC" w:rsidRPr="00E11BB8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9B294C" w:rsidRPr="00E11BB8" w:rsidRDefault="009B294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E11BB8" w:rsidRDefault="005D400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217CD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20.4pt;margin-top:8.05pt;width:61.05pt;height:19.75pt;z-index:251658240;mso-width-relative:margin;mso-height-relative:margin" stroked="f">
            <v:textbox style="mso-next-textbox:#_x0000_s1062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B6D76" w:rsidRPr="00E11BB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E11BB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E11BB8" w:rsidRDefault="00A13AB5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E11BB8" w:rsidRDefault="00217CD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  <w:r w:rsidRPr="00217CDC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66.35pt;margin-top:2.75pt;width:36.15pt;height:16.85pt;z-index:251657216;mso-height-percent:200;mso-height-percent:200;mso-width-relative:margin;mso-height-relative:margin" stroked="f">
            <v:textbox style="mso-next-textbox:#_x0000_s1061;mso-fit-shape-to-text:t">
              <w:txbxContent>
                <w:p w:rsidR="001D2625" w:rsidRPr="0078288A" w:rsidRDefault="001D2625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217CDC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32.4pt;margin-top:2.7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1D2625" w:rsidRPr="0078288A" w:rsidRDefault="001D262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E0301" w:rsidRPr="00E11BB8" w:rsidRDefault="006A1C9B" w:rsidP="00F8723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E11BB8">
        <w:rPr>
          <w:rFonts w:ascii="Tahoma" w:hAnsi="Tahoma" w:cs="Tahoma"/>
          <w:sz w:val="16"/>
          <w:szCs w:val="16"/>
          <w:lang w:val="ru-RU"/>
        </w:rPr>
        <w:t xml:space="preserve"> </w:t>
      </w:r>
      <w:r w:rsidR="00CE24D5" w:rsidRPr="00E11BB8">
        <w:rPr>
          <w:rFonts w:ascii="Tahoma" w:hAnsi="Tahoma" w:cs="Tahoma"/>
          <w:sz w:val="16"/>
          <w:szCs w:val="16"/>
          <w:lang w:val="ru-RU"/>
        </w:rPr>
        <w:t>2</w:t>
      </w:r>
      <w:r w:rsidR="005E0301" w:rsidRPr="00E11BB8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u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hilj</w:t>
      </w:r>
      <w:r>
        <w:rPr>
          <w:rFonts w:ascii="Tahoma" w:hAnsi="Tahoma" w:cs="Tahoma"/>
          <w:iCs/>
          <w:sz w:val="16"/>
          <w:szCs w:val="16"/>
          <w:lang w:val="sr-Cyrl-CS"/>
        </w:rPr>
        <w:t>adama</w:t>
      </w:r>
      <w:r w:rsidR="005E0301" w:rsidRPr="00E11BB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KM</w:t>
      </w: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5D5311" w:rsidRPr="00E11BB8" w:rsidRDefault="005D531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46676" w:rsidRPr="00E11BB8" w:rsidRDefault="008466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FB757A" w:rsidRPr="00E11BB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6A1C9B" w:rsidRDefault="006A1C9B" w:rsidP="003E5E54">
      <w:pPr>
        <w:rPr>
          <w:rFonts w:ascii="Tahoma" w:hAnsi="Tahoma" w:cs="Tahoma"/>
          <w:b/>
          <w:sz w:val="28"/>
          <w:szCs w:val="28"/>
          <w:lang w:val="sr-Latn-CS"/>
        </w:rPr>
      </w:pPr>
    </w:p>
    <w:p w:rsidR="008F0147" w:rsidRPr="00E11BB8" w:rsidRDefault="006A1C9B" w:rsidP="003E5E54">
      <w:pPr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Promet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trgovini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na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malo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veći</w:t>
      </w:r>
      <w:r w:rsidR="003823D5" w:rsidRPr="00E11BB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5242C" w:rsidRPr="00E11BB8">
        <w:rPr>
          <w:rFonts w:ascii="Tahoma" w:hAnsi="Tahoma" w:cs="Tahoma"/>
          <w:b/>
          <w:sz w:val="28"/>
          <w:szCs w:val="28"/>
          <w:lang w:val="sr-Cyrl-CS"/>
        </w:rPr>
        <w:t>0,3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>% (</w:t>
      </w:r>
      <w:r w:rsidR="00317BE9" w:rsidRPr="00E11BB8">
        <w:rPr>
          <w:rFonts w:ascii="Tahoma" w:hAnsi="Tahoma" w:cs="Tahoma"/>
          <w:b/>
          <w:sz w:val="28"/>
          <w:szCs w:val="28"/>
          <w:lang w:val="sr-Latn-CS"/>
        </w:rPr>
        <w:t>X</w:t>
      </w:r>
      <w:r w:rsidR="003823D5" w:rsidRPr="00E11BB8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>2011/</w:t>
      </w:r>
      <w:r w:rsidR="0055242C" w:rsidRPr="00E11BB8">
        <w:rPr>
          <w:rFonts w:ascii="Tahoma" w:hAnsi="Tahoma" w:cs="Tahoma"/>
          <w:b/>
          <w:sz w:val="28"/>
          <w:szCs w:val="28"/>
          <w:lang w:val="sr-Latn-CS"/>
        </w:rPr>
        <w:t>IX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E11BB8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E11BB8">
        <w:rPr>
          <w:rFonts w:ascii="Tahoma" w:hAnsi="Tahoma" w:cs="Tahoma"/>
          <w:b/>
          <w:sz w:val="28"/>
          <w:szCs w:val="28"/>
          <w:lang w:val="ru-RU"/>
        </w:rPr>
        <w:t>.</w:t>
      </w:r>
      <w:r w:rsidR="008F0147" w:rsidRPr="00E11BB8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5B12F7" w:rsidRPr="00E11BB8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55242C" w:rsidRPr="00E11BB8" w:rsidRDefault="006A1C9B" w:rsidP="0055242C">
      <w:pPr>
        <w:pStyle w:val="BodyTextIndent3"/>
        <w:tabs>
          <w:tab w:val="left" w:pos="720"/>
        </w:tabs>
        <w:ind w:firstLine="0"/>
        <w:rPr>
          <w:rFonts w:ascii="Tahoma" w:hAnsi="Tahoma" w:cs="Tahoma"/>
          <w:bCs w:val="0"/>
          <w:szCs w:val="18"/>
          <w:lang w:val="ru-RU"/>
        </w:rPr>
      </w:pPr>
      <w:r>
        <w:rPr>
          <w:rFonts w:ascii="Tahoma" w:hAnsi="Tahoma" w:cs="Tahoma"/>
          <w:bCs w:val="0"/>
          <w:szCs w:val="18"/>
          <w:lang w:val="sr-Cyrl-CS"/>
        </w:rPr>
        <w:t>Promet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trgovini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malo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oktobru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septembar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55242C" w:rsidRPr="00E11BB8">
        <w:rPr>
          <w:rFonts w:ascii="Tahoma" w:hAnsi="Tahoma" w:cs="Tahoma"/>
          <w:bCs w:val="0"/>
          <w:szCs w:val="18"/>
          <w:lang w:val="ru-RU"/>
        </w:rPr>
        <w:t xml:space="preserve"> 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>0,3%,</w:t>
      </w:r>
      <w:r w:rsidR="0055242C" w:rsidRPr="00E11BB8">
        <w:rPr>
          <w:rFonts w:ascii="Tahoma" w:hAnsi="Tahoma" w:cs="Tahoma"/>
          <w:bCs w:val="0"/>
          <w:szCs w:val="18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oktobar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55242C" w:rsidRPr="00E11BB8">
        <w:rPr>
          <w:rFonts w:ascii="Tahoma" w:hAnsi="Tahoma" w:cs="Tahoma"/>
          <w:bCs w:val="0"/>
          <w:szCs w:val="18"/>
          <w:lang w:val="ru-RU"/>
        </w:rPr>
        <w:t xml:space="preserve"> 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>4,6%</w:t>
      </w:r>
      <w:r w:rsidR="0055242C" w:rsidRPr="00E11BB8">
        <w:rPr>
          <w:rFonts w:ascii="Tahoma" w:hAnsi="Tahoma" w:cs="Tahoma"/>
          <w:bCs w:val="0"/>
          <w:szCs w:val="18"/>
          <w:lang w:val="ru-RU"/>
        </w:rPr>
        <w:t xml:space="preserve">, </w:t>
      </w:r>
      <w:r>
        <w:rPr>
          <w:rFonts w:ascii="Tahoma" w:hAnsi="Tahoma" w:cs="Tahoma"/>
          <w:bCs w:val="0"/>
          <w:szCs w:val="18"/>
          <w:lang w:val="sr-Cyrl-CS"/>
        </w:rPr>
        <w:t>dok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prosjek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55242C" w:rsidRPr="00E11BB8">
        <w:rPr>
          <w:rFonts w:ascii="Tahoma" w:hAnsi="Tahoma" w:cs="Tahoma"/>
          <w:bCs w:val="0"/>
          <w:szCs w:val="18"/>
          <w:lang w:val="sr-Cyrl-CS"/>
        </w:rPr>
        <w:t xml:space="preserve"> 13,0%.</w:t>
      </w:r>
    </w:p>
    <w:p w:rsidR="00242008" w:rsidRPr="00E11BB8" w:rsidRDefault="00242008" w:rsidP="0020048F">
      <w:pPr>
        <w:jc w:val="both"/>
        <w:rPr>
          <w:rFonts w:ascii="Tahoma" w:hAnsi="Tahoma" w:cs="Tahoma"/>
          <w:bCs/>
          <w:sz w:val="18"/>
          <w:szCs w:val="18"/>
          <w:lang w:val="sr-Cyrl-CS"/>
        </w:rPr>
      </w:pPr>
    </w:p>
    <w:p w:rsidR="007F09DE" w:rsidRPr="00E11BB8" w:rsidRDefault="006A1C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strukturi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prometa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najviše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nespecijalizovanim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29,3%,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motornim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gorivima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mazivima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55242C" w:rsidRPr="00E11BB8">
        <w:rPr>
          <w:rFonts w:ascii="Tahoma" w:hAnsi="Tahoma" w:cs="Tahoma"/>
          <w:bCs/>
          <w:sz w:val="18"/>
          <w:szCs w:val="18"/>
        </w:rPr>
        <w:t>28,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7%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ostala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novom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robom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specijaliziranim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55242C" w:rsidRPr="00E11BB8">
        <w:rPr>
          <w:rFonts w:ascii="Tahoma" w:hAnsi="Tahoma" w:cs="Tahoma"/>
          <w:bCs/>
          <w:sz w:val="18"/>
          <w:szCs w:val="18"/>
          <w:lang w:val="sr-Latn-CS"/>
        </w:rPr>
        <w:t>20.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5%, </w:t>
      </w:r>
      <w:r>
        <w:rPr>
          <w:rFonts w:ascii="Tahoma" w:hAnsi="Tahoma" w:cs="Tahoma"/>
          <w:bCs/>
          <w:sz w:val="18"/>
          <w:szCs w:val="18"/>
          <w:lang w:val="sr-Cyrl-CS"/>
        </w:rPr>
        <w:t>dok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najmanje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izvan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 xml:space="preserve"> 0,</w:t>
      </w:r>
      <w:r w:rsidR="0055242C" w:rsidRPr="00E11BB8">
        <w:rPr>
          <w:rFonts w:ascii="Tahoma" w:hAnsi="Tahoma" w:cs="Tahoma"/>
          <w:bCs/>
          <w:sz w:val="18"/>
          <w:szCs w:val="18"/>
          <w:lang w:val="sr-Latn-CS"/>
        </w:rPr>
        <w:t>3</w:t>
      </w:r>
      <w:r w:rsidR="0055242C" w:rsidRPr="00E11BB8">
        <w:rPr>
          <w:rFonts w:ascii="Tahoma" w:hAnsi="Tahoma" w:cs="Tahoma"/>
          <w:bCs/>
          <w:sz w:val="18"/>
          <w:szCs w:val="18"/>
          <w:lang w:val="sr-Cyrl-CS"/>
        </w:rPr>
        <w:t>%</w:t>
      </w:r>
      <w:r w:rsidR="009B5D33" w:rsidRPr="00E11BB8">
        <w:rPr>
          <w:rFonts w:ascii="Tahoma" w:hAnsi="Tahoma" w:cs="Tahoma"/>
          <w:bCs/>
          <w:sz w:val="18"/>
          <w:szCs w:val="18"/>
        </w:rPr>
        <w:t>.</w:t>
      </w:r>
    </w:p>
    <w:p w:rsidR="00F94323" w:rsidRDefault="00F94323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Pr="00213429" w:rsidRDefault="006A1C9B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>
        <w:rPr>
          <w:rFonts w:ascii="Tahoma" w:hAnsi="Tahoma" w:cs="Tahoma"/>
          <w:b/>
          <w:spacing w:val="-16"/>
          <w:sz w:val="28"/>
          <w:szCs w:val="28"/>
          <w:lang w:val="ru-RU"/>
        </w:rPr>
        <w:t>Zabilježeno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 w:rsidR="00FB6D41">
        <w:rPr>
          <w:rFonts w:ascii="Tahoma" w:hAnsi="Tahoma" w:cs="Tahoma"/>
          <w:b/>
          <w:spacing w:val="-16"/>
          <w:sz w:val="28"/>
          <w:szCs w:val="28"/>
          <w:lang w:val="sr-Cyrl-CS"/>
        </w:rPr>
        <w:t>1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 w:rsidR="00FB6D41">
        <w:rPr>
          <w:rFonts w:ascii="Tahoma" w:hAnsi="Tahoma" w:cs="Tahoma"/>
          <w:b/>
          <w:spacing w:val="-16"/>
          <w:sz w:val="28"/>
          <w:szCs w:val="28"/>
          <w:lang w:val="ru-RU"/>
        </w:rPr>
        <w:t>6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više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noćenja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BA"/>
        </w:rPr>
        <w:t>u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oktobru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nego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u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septembru</w:t>
      </w:r>
      <w:r w:rsidR="00FB6D41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FB6D41" w:rsidRPr="00213429" w:rsidRDefault="006A1C9B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Najviše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noćenja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turista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iz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Hrvatske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to</w:t>
      </w:r>
      <w:r w:rsidR="00FB6D41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 w:rsidR="00FB6D41">
        <w:rPr>
          <w:rFonts w:ascii="Tahoma" w:hAnsi="Tahoma" w:cs="Tahoma"/>
          <w:spacing w:val="-14"/>
          <w:sz w:val="24"/>
          <w:szCs w:val="24"/>
          <w:lang w:val="ru-RU"/>
        </w:rPr>
        <w:t>7 867</w:t>
      </w:r>
    </w:p>
    <w:p w:rsidR="00FB6D41" w:rsidRPr="00213429" w:rsidRDefault="00FB6D41" w:rsidP="00FB6D41">
      <w:pPr>
        <w:pStyle w:val="Default"/>
        <w:jc w:val="both"/>
        <w:rPr>
          <w:color w:val="auto"/>
          <w:highlight w:val="yellow"/>
          <w:lang w:val="ru-RU"/>
        </w:rPr>
      </w:pPr>
    </w:p>
    <w:p w:rsidR="00FB6D41" w:rsidRPr="00213429" w:rsidRDefault="006A1C9B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oktobru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Republika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raspolagala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kapacitetom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4 </w:t>
      </w:r>
      <w:r w:rsidR="00FB6D41">
        <w:rPr>
          <w:rFonts w:ascii="Tahoma" w:hAnsi="Tahoma" w:cs="Tahoma"/>
          <w:sz w:val="18"/>
          <w:szCs w:val="18"/>
          <w:lang w:val="ru-RU"/>
        </w:rPr>
        <w:t>139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soba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8 860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ležaja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FB6D41" w:rsidRPr="00213429" w:rsidRDefault="006A1C9B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FB6D41">
        <w:rPr>
          <w:rFonts w:ascii="Tahoma" w:hAnsi="Tahoma" w:cs="Tahoma"/>
          <w:sz w:val="18"/>
          <w:szCs w:val="18"/>
          <w:lang w:val="sr-Cyrl-BA"/>
        </w:rPr>
        <w:t>1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649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3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B6D41">
        <w:rPr>
          <w:rFonts w:ascii="Tahoma" w:hAnsi="Tahoma" w:cs="Tahoma"/>
          <w:sz w:val="18"/>
          <w:szCs w:val="18"/>
          <w:lang w:val="sr-Cyrl-BA"/>
        </w:rPr>
        <w:t>4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5</w:t>
      </w:r>
      <w:r w:rsidR="00FB6D41">
        <w:rPr>
          <w:rFonts w:ascii="Tahoma" w:hAnsi="Tahoma" w:cs="Tahoma"/>
          <w:sz w:val="18"/>
          <w:szCs w:val="18"/>
          <w:lang w:val="sr-Cyrl-BA"/>
        </w:rPr>
        <w:t>9 089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1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B6D41">
        <w:rPr>
          <w:rFonts w:ascii="Tahoma" w:hAnsi="Tahoma" w:cs="Tahoma"/>
          <w:sz w:val="18"/>
          <w:szCs w:val="18"/>
          <w:lang w:val="sr-Cyrl-BA"/>
        </w:rPr>
        <w:t>6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%.</w:t>
      </w:r>
      <w:r w:rsidR="00FB6D41" w:rsidRPr="00213429">
        <w:rPr>
          <w:sz w:val="18"/>
          <w:szCs w:val="18"/>
          <w:lang w:val="sr-Cyrl-BA"/>
        </w:rPr>
        <w:t xml:space="preserve"> </w:t>
      </w:r>
    </w:p>
    <w:p w:rsidR="00FB6D41" w:rsidRPr="00213429" w:rsidRDefault="00FB6D41" w:rsidP="00FB6D41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FB6D41" w:rsidRPr="00213429" w:rsidRDefault="006A1C9B" w:rsidP="00FB6D41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Poredeći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FB6D41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zabilježeno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dolazaka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0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B6D41">
        <w:rPr>
          <w:rFonts w:ascii="Tahoma" w:hAnsi="Tahoma" w:cs="Tahoma"/>
          <w:sz w:val="18"/>
          <w:szCs w:val="18"/>
          <w:lang w:val="sr-Cyrl-BA"/>
        </w:rPr>
        <w:t>7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8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,6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%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B6D41" w:rsidRPr="00213429" w:rsidRDefault="006A1C9B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Domaći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13 </w:t>
      </w:r>
      <w:r w:rsidR="00FB6D41">
        <w:rPr>
          <w:rFonts w:ascii="Tahoma" w:hAnsi="Tahoma" w:cs="Tahoma"/>
          <w:sz w:val="18"/>
          <w:szCs w:val="18"/>
          <w:lang w:val="sr-Cyrl-BA"/>
        </w:rPr>
        <w:t>037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1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B6D41">
        <w:rPr>
          <w:rFonts w:ascii="Tahoma" w:hAnsi="Tahoma" w:cs="Tahoma"/>
          <w:sz w:val="18"/>
          <w:szCs w:val="18"/>
          <w:lang w:val="sr-Cyrl-BA"/>
        </w:rPr>
        <w:t>8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36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352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2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,</w:t>
      </w:r>
      <w:r w:rsidR="00FB6D41">
        <w:rPr>
          <w:rFonts w:ascii="Tahoma" w:hAnsi="Tahoma" w:cs="Tahoma"/>
          <w:sz w:val="18"/>
          <w:szCs w:val="18"/>
          <w:lang w:val="ru-RU"/>
        </w:rPr>
        <w:t>9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FB6D41" w:rsidRPr="00213429" w:rsidRDefault="006A1C9B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Strani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8 </w:t>
      </w:r>
      <w:r w:rsidR="00FB6D41">
        <w:rPr>
          <w:rFonts w:ascii="Tahoma" w:hAnsi="Tahoma" w:cs="Tahoma"/>
          <w:sz w:val="18"/>
          <w:szCs w:val="18"/>
          <w:lang w:val="sr-Cyrl-BA"/>
        </w:rPr>
        <w:t>612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B6D41">
        <w:rPr>
          <w:rFonts w:ascii="Tahoma" w:hAnsi="Tahoma" w:cs="Tahoma"/>
          <w:sz w:val="18"/>
          <w:szCs w:val="18"/>
          <w:lang w:val="sr-Cyrl-BA"/>
        </w:rPr>
        <w:t>4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B6D41">
        <w:rPr>
          <w:rFonts w:ascii="Tahoma" w:hAnsi="Tahoma" w:cs="Tahoma"/>
          <w:sz w:val="18"/>
          <w:szCs w:val="18"/>
          <w:lang w:val="sr-Cyrl-BA"/>
        </w:rPr>
        <w:t>9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 </w:t>
      </w:r>
      <w:r w:rsidR="00FB6D41">
        <w:rPr>
          <w:rFonts w:ascii="Tahoma" w:hAnsi="Tahoma" w:cs="Tahoma"/>
          <w:sz w:val="18"/>
          <w:szCs w:val="18"/>
          <w:lang w:val="sr-Cyrl-BA"/>
        </w:rPr>
        <w:t>22 737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34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,</w:t>
      </w:r>
      <w:r w:rsidR="00FB6D41">
        <w:rPr>
          <w:rFonts w:ascii="Tahoma" w:hAnsi="Tahoma" w:cs="Tahoma"/>
          <w:sz w:val="18"/>
          <w:szCs w:val="18"/>
          <w:lang w:val="ru-RU"/>
        </w:rPr>
        <w:t>0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213429" w:rsidRDefault="00FB6D41" w:rsidP="00FB6D41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FB6D41" w:rsidRDefault="006A1C9B" w:rsidP="005269F3">
      <w:pPr>
        <w:jc w:val="both"/>
        <w:rPr>
          <w:rFonts w:ascii="Tahoma" w:hAnsi="Tahoma" w:cs="Tahoma"/>
          <w:b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ru-RU"/>
        </w:rPr>
        <w:t>Od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stranih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ostvarili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turisti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Hrvatske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(</w:t>
      </w:r>
      <w:r w:rsidR="00FB6D41">
        <w:rPr>
          <w:rFonts w:ascii="Tahoma" w:hAnsi="Tahoma" w:cs="Tahoma"/>
          <w:sz w:val="18"/>
          <w:szCs w:val="18"/>
          <w:lang w:val="ru-RU"/>
        </w:rPr>
        <w:t>7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867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</w:t>
      </w:r>
      <w:r w:rsidR="00FB6D41">
        <w:rPr>
          <w:rFonts w:ascii="Tahoma" w:hAnsi="Tahoma" w:cs="Tahoma"/>
          <w:sz w:val="18"/>
          <w:szCs w:val="18"/>
          <w:lang w:val="ru-RU"/>
        </w:rPr>
        <w:t>31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,</w:t>
      </w:r>
      <w:r w:rsidR="00FB6D41">
        <w:rPr>
          <w:rFonts w:ascii="Tahoma" w:hAnsi="Tahoma" w:cs="Tahoma"/>
          <w:sz w:val="18"/>
          <w:szCs w:val="18"/>
          <w:lang w:val="ru-RU"/>
        </w:rPr>
        <w:t>4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drugom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Srbija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ostvarenih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6 082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10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,</w:t>
      </w:r>
      <w:r w:rsidR="00FB6D41">
        <w:rPr>
          <w:rFonts w:ascii="Tahoma" w:hAnsi="Tahoma" w:cs="Tahoma"/>
          <w:sz w:val="18"/>
          <w:szCs w:val="18"/>
          <w:lang w:val="ru-RU"/>
        </w:rPr>
        <w:t>8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trećem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ostvarenom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Slovenija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(1 </w:t>
      </w:r>
      <w:r w:rsidR="00FB6D41">
        <w:rPr>
          <w:rFonts w:ascii="Tahoma" w:hAnsi="Tahoma" w:cs="Tahoma"/>
          <w:sz w:val="18"/>
          <w:szCs w:val="18"/>
          <w:lang w:val="ru-RU"/>
        </w:rPr>
        <w:t>568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B6D41">
        <w:rPr>
          <w:rFonts w:ascii="Tahoma" w:hAnsi="Tahoma" w:cs="Tahoma"/>
          <w:sz w:val="18"/>
          <w:szCs w:val="18"/>
          <w:lang w:val="ru-RU"/>
        </w:rPr>
        <w:t>17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,</w:t>
      </w:r>
      <w:r w:rsidR="00FB6D41">
        <w:rPr>
          <w:rFonts w:ascii="Tahoma" w:hAnsi="Tahoma" w:cs="Tahoma"/>
          <w:sz w:val="18"/>
          <w:szCs w:val="18"/>
          <w:lang w:val="ru-RU"/>
        </w:rPr>
        <w:t>0</w:t>
      </w:r>
      <w:r w:rsidR="00FB6D41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B6D41" w:rsidRPr="00E11BB8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Default="00FB6D41" w:rsidP="00CA04C8">
      <w:pPr>
        <w:jc w:val="both"/>
        <w:rPr>
          <w:rFonts w:ascii="Tahoma" w:hAnsi="Tahoma" w:cs="Tahoma"/>
          <w:b/>
          <w:sz w:val="28"/>
          <w:szCs w:val="28"/>
        </w:rPr>
      </w:pPr>
    </w:p>
    <w:p w:rsidR="00CA04C8" w:rsidRPr="00E11BB8" w:rsidRDefault="006A1C9B" w:rsidP="00CA04C8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2010. </w:t>
      </w:r>
      <w:r>
        <w:rPr>
          <w:rFonts w:ascii="Tahoma" w:hAnsi="Tahoma" w:cs="Tahoma"/>
          <w:b/>
          <w:sz w:val="28"/>
          <w:szCs w:val="28"/>
          <w:lang w:val="sr-Cyrl-BA"/>
        </w:rPr>
        <w:t>godini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Republici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Srpskoj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za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istraživanje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razvoj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potrošeno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je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20,7 </w:t>
      </w:r>
      <w:r>
        <w:rPr>
          <w:rFonts w:ascii="Tahoma" w:hAnsi="Tahoma" w:cs="Tahoma"/>
          <w:b/>
          <w:sz w:val="28"/>
          <w:szCs w:val="28"/>
          <w:lang w:val="sr-Cyrl-BA"/>
        </w:rPr>
        <w:t>miliona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KM</w:t>
      </w:r>
      <w:r w:rsidR="00CA04C8" w:rsidRPr="00E11BB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</w:p>
    <w:p w:rsidR="00CA04C8" w:rsidRPr="00E11BB8" w:rsidRDefault="006A1C9B" w:rsidP="00CA04C8">
      <w:pPr>
        <w:jc w:val="both"/>
        <w:rPr>
          <w:rFonts w:ascii="Tahoma" w:hAnsi="Tahoma" w:cs="Tahoma"/>
          <w:i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Najviše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sredstava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za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istraživanje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razvoj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(38,4%) </w:t>
      </w:r>
      <w:r>
        <w:rPr>
          <w:rFonts w:ascii="Tahoma" w:hAnsi="Tahoma" w:cs="Tahoma"/>
          <w:sz w:val="24"/>
          <w:szCs w:val="24"/>
          <w:lang w:val="sr-Cyrl-BA"/>
        </w:rPr>
        <w:t>potrošeno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je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u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oblasti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BA"/>
        </w:rPr>
        <w:t>Inženjerstvo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BA"/>
        </w:rPr>
        <w:t>i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BA"/>
        </w:rPr>
        <w:t>tehnologija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, </w:t>
      </w:r>
      <w:r>
        <w:rPr>
          <w:rFonts w:ascii="Tahoma" w:hAnsi="Tahoma" w:cs="Tahoma"/>
          <w:sz w:val="24"/>
          <w:szCs w:val="24"/>
          <w:lang w:val="sr-Cyrl-BA"/>
        </w:rPr>
        <w:t>a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najmanje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u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oblasti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BA"/>
        </w:rPr>
        <w:t>Humanističke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BA"/>
        </w:rPr>
        <w:t>nauke</w:t>
      </w:r>
      <w:r w:rsidR="00CA04C8" w:rsidRPr="00E11BB8">
        <w:rPr>
          <w:rFonts w:ascii="Tahoma" w:hAnsi="Tahoma" w:cs="Tahoma"/>
          <w:i/>
          <w:sz w:val="24"/>
          <w:szCs w:val="24"/>
          <w:lang w:val="sr-Cyrl-BA"/>
        </w:rPr>
        <w:t xml:space="preserve"> </w:t>
      </w:r>
      <w:r w:rsidR="00CA04C8" w:rsidRPr="00E11BB8">
        <w:rPr>
          <w:rFonts w:ascii="Tahoma" w:hAnsi="Tahoma" w:cs="Tahoma"/>
          <w:sz w:val="24"/>
          <w:szCs w:val="24"/>
          <w:lang w:val="sr-Cyrl-BA"/>
        </w:rPr>
        <w:t>(0,6%)</w:t>
      </w:r>
    </w:p>
    <w:p w:rsidR="00CA04C8" w:rsidRPr="00E11BB8" w:rsidRDefault="00CA04C8" w:rsidP="00CA04C8">
      <w:pPr>
        <w:rPr>
          <w:rFonts w:ascii="Tahoma" w:hAnsi="Tahoma" w:cs="Tahoma"/>
          <w:b/>
          <w:sz w:val="18"/>
          <w:szCs w:val="18"/>
          <w:lang w:val="sr-Cyrl-BA"/>
        </w:rPr>
      </w:pPr>
    </w:p>
    <w:p w:rsidR="00CA04C8" w:rsidRPr="00E11BB8" w:rsidRDefault="006A1C9B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bruto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domaći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izdaci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za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istraživanje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razvoj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sektorima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izvođenja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razvoja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 </w:t>
      </w:r>
      <w:r>
        <w:rPr>
          <w:rFonts w:ascii="Tahoma" w:hAnsi="Tahoma" w:cs="Tahoma"/>
          <w:sz w:val="18"/>
          <w:szCs w:val="18"/>
          <w:lang w:val="sr-Cyrl-BA"/>
        </w:rPr>
        <w:t>iznosili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20 779 000 </w:t>
      </w:r>
      <w:r>
        <w:rPr>
          <w:rFonts w:ascii="Tahoma" w:hAnsi="Tahoma" w:cs="Tahoma"/>
          <w:b/>
          <w:sz w:val="18"/>
          <w:szCs w:val="18"/>
          <w:lang w:val="sr-Cyrl-BA"/>
        </w:rPr>
        <w:t>KM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15,4%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domaćih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izdataka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potrošeno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41,0%, </w:t>
      </w:r>
      <w:r>
        <w:rPr>
          <w:rFonts w:ascii="Tahoma" w:hAnsi="Tahoma" w:cs="Tahoma"/>
          <w:sz w:val="18"/>
          <w:szCs w:val="18"/>
          <w:lang w:val="sr-Cyrl-BA"/>
        </w:rPr>
        <w:t>državnom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9,7%, </w:t>
      </w:r>
      <w:r>
        <w:rPr>
          <w:rFonts w:ascii="Tahoma" w:hAnsi="Tahoma" w:cs="Tahoma"/>
          <w:sz w:val="18"/>
          <w:szCs w:val="18"/>
          <w:lang w:val="sr-Cyrl-BA"/>
        </w:rPr>
        <w:t>visokom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obrazovanju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48,6%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neprofitnom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0,7%. </w:t>
      </w:r>
    </w:p>
    <w:p w:rsidR="00CA04C8" w:rsidRPr="00E11BB8" w:rsidRDefault="006A1C9B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Kada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posmatraju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izvori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potrošenih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sredstava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razvoj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20 779 000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koliko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izdvojeno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razvoj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>20 284</w:t>
      </w:r>
      <w:r w:rsidR="00E33DC3">
        <w:rPr>
          <w:rFonts w:ascii="Tahoma" w:hAnsi="Tahoma" w:cs="Tahoma"/>
          <w:b/>
          <w:sz w:val="18"/>
          <w:szCs w:val="18"/>
          <w:lang w:val="sr-Cyrl-BA"/>
        </w:rPr>
        <w:t> 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>000</w:t>
      </w:r>
      <w:r w:rsidR="00E33DC3">
        <w:rPr>
          <w:rFonts w:ascii="Tahoma" w:hAnsi="Tahoma" w:cs="Tahoma"/>
          <w:b/>
          <w:sz w:val="18"/>
          <w:szCs w:val="18"/>
        </w:rPr>
        <w:t xml:space="preserve"> KM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su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finansijska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sredstva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iz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Republike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Srpske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, 63</w:t>
      </w:r>
      <w:r w:rsidR="00E33DC3">
        <w:rPr>
          <w:rFonts w:ascii="Tahoma" w:hAnsi="Tahoma" w:cs="Tahoma"/>
          <w:sz w:val="18"/>
          <w:szCs w:val="18"/>
          <w:lang w:val="sr-Cyrl-BA"/>
        </w:rPr>
        <w:t> 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000</w:t>
      </w:r>
      <w:r w:rsidR="00E33DC3">
        <w:rPr>
          <w:rFonts w:ascii="Tahoma" w:hAnsi="Tahoma" w:cs="Tahoma"/>
          <w:sz w:val="18"/>
          <w:szCs w:val="18"/>
        </w:rPr>
        <w:t xml:space="preserve"> KM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finansijska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sredstva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zajedničkih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institucija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18 000 </w:t>
      </w:r>
      <w:r w:rsidR="00E33DC3">
        <w:rPr>
          <w:rFonts w:ascii="Tahoma" w:hAnsi="Tahoma" w:cs="Tahoma"/>
          <w:sz w:val="18"/>
          <w:szCs w:val="18"/>
        </w:rPr>
        <w:t xml:space="preserve">KM </w:t>
      </w:r>
      <w:r>
        <w:rPr>
          <w:rFonts w:ascii="Tahoma" w:hAnsi="Tahoma" w:cs="Tahoma"/>
          <w:sz w:val="18"/>
          <w:szCs w:val="18"/>
          <w:lang w:val="sr-Cyrl-BA"/>
        </w:rPr>
        <w:t>finansijska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sredstva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Federacije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ili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Brčko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distrikta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33DC3">
        <w:rPr>
          <w:rFonts w:ascii="Tahoma" w:hAnsi="Tahoma" w:cs="Tahoma"/>
          <w:sz w:val="18"/>
          <w:szCs w:val="18"/>
        </w:rPr>
        <w:t xml:space="preserve">    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414 000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finansijska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sredstva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CA04C8" w:rsidRPr="00E11BB8" w:rsidRDefault="006A1C9B" w:rsidP="00CA04C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Najviše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sredstava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razvoj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naučnoj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oblasti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38,4%, </w:t>
      </w:r>
      <w:r>
        <w:rPr>
          <w:rFonts w:ascii="Tahoma" w:hAnsi="Tahoma" w:cs="Tahoma"/>
          <w:sz w:val="18"/>
          <w:szCs w:val="18"/>
          <w:lang w:val="sr-Cyrl-BA"/>
        </w:rPr>
        <w:t>potrošeno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oblasti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Inženjerstvo</w:t>
      </w:r>
      <w:r w:rsidR="00CA04C8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tehnologija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kojoj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pripadaju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građevinarstvo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arhitektura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elektrotehnika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elektronika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informaciono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mašinsko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hemijsko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medicinsko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inženjerstvo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inženjerstvo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životne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sredine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inženjerstva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tehnologije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CA04C8" w:rsidRPr="00E11BB8" w:rsidRDefault="006A1C9B" w:rsidP="00CA04C8">
      <w:pPr>
        <w:jc w:val="both"/>
        <w:rPr>
          <w:rFonts w:ascii="Tahoma" w:eastAsia="Tahoma" w:hAnsi="Tahoma" w:cs="Tahoma"/>
          <w:spacing w:val="-4"/>
          <w:sz w:val="18"/>
          <w:szCs w:val="18"/>
          <w:lang w:val="sr-Cyrl-BA"/>
        </w:rPr>
      </w:pP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Najviše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uloženih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sredstava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za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istraživanje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bilo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je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namijenjeno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unapređenju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industrijskog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(23,4%), 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poljoprivrede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šumarstva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ribarstva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(22,5%)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društvenog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usluga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(18,8%).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6A1C9B" w:rsidP="00CA04C8">
      <w:pPr>
        <w:jc w:val="both"/>
        <w:rPr>
          <w:rFonts w:ascii="Tahoma" w:eastAsia="Tahoma" w:hAnsi="Tahoma" w:cs="Tahoma"/>
          <w:spacing w:val="-4"/>
          <w:sz w:val="18"/>
          <w:szCs w:val="18"/>
          <w:lang w:val="sr-Cyrl-BA"/>
        </w:rPr>
      </w:pP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Na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poslovima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istraživanja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2010.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godini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Latn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bile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su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zaposlen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</w:rPr>
        <w:t>e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1 053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osobe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sa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punim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kraćim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od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punog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radnog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vremena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Latn-BA"/>
        </w:rPr>
        <w:t xml:space="preserve">,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od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čega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su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43,1%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žene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.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Izraženo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ekvivalentom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zaposlenosti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u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2010.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godini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791,8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lica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bilo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je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zaposleno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radno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vrijeme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na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poslovima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istraživanja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.</w:t>
      </w:r>
    </w:p>
    <w:p w:rsidR="00CA04C8" w:rsidRPr="00E11BB8" w:rsidRDefault="006A1C9B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istom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periodu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na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poslovima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istraživanja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na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osnovu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ugovora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o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djelu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ili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autorskog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ugovora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bila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je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angažovana</w:t>
      </w:r>
      <w:r w:rsidR="00CA04C8" w:rsidRPr="00E11BB8"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 xml:space="preserve"> 481 </w:t>
      </w:r>
      <w:r>
        <w:rPr>
          <w:rFonts w:ascii="Tahoma" w:eastAsia="Tahoma" w:hAnsi="Tahoma" w:cs="Tahoma"/>
          <w:b/>
          <w:spacing w:val="-4"/>
          <w:sz w:val="18"/>
          <w:szCs w:val="18"/>
          <w:lang w:val="sr-Cyrl-BA"/>
        </w:rPr>
        <w:t>osoba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od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čega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su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33,4% 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žene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.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Izraženo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ekvivalentom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zaposlenosti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,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na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poslovima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istraživanja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i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razvoja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puno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radno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vrijeme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bile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su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angažovane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 xml:space="preserve"> 154,4 </w:t>
      </w:r>
      <w:r>
        <w:rPr>
          <w:rFonts w:ascii="Tahoma" w:eastAsia="Tahoma" w:hAnsi="Tahoma" w:cs="Tahoma"/>
          <w:spacing w:val="-4"/>
          <w:sz w:val="18"/>
          <w:szCs w:val="18"/>
          <w:lang w:val="sr-Cyrl-BA"/>
        </w:rPr>
        <w:t>osobe</w:t>
      </w:r>
      <w:r w:rsidR="00CA04C8" w:rsidRPr="00E11BB8">
        <w:rPr>
          <w:rFonts w:ascii="Tahoma" w:eastAsia="Tahoma" w:hAnsi="Tahoma" w:cs="Tahoma"/>
          <w:spacing w:val="-4"/>
          <w:sz w:val="18"/>
          <w:szCs w:val="18"/>
          <w:lang w:val="sr-Cyrl-BA"/>
        </w:rPr>
        <w:t>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6A1C9B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Ukupan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broj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istraživačo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>-</w:t>
      </w:r>
      <w:r>
        <w:rPr>
          <w:rFonts w:ascii="Tahoma" w:hAnsi="Tahoma" w:cs="Tahoma"/>
          <w:b/>
          <w:sz w:val="18"/>
          <w:szCs w:val="18"/>
          <w:lang w:val="sr-Cyrl-BA"/>
        </w:rPr>
        <w:t>razvojnih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radova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je</w:t>
      </w:r>
      <w:r w:rsidR="00CA04C8" w:rsidRPr="00E11BB8">
        <w:rPr>
          <w:rFonts w:ascii="Tahoma" w:hAnsi="Tahoma" w:cs="Tahoma"/>
          <w:b/>
          <w:sz w:val="18"/>
          <w:szCs w:val="18"/>
          <w:lang w:val="sr-Cyrl-BA"/>
        </w:rPr>
        <w:t xml:space="preserve"> 379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čega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primjenjenim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istraživanjima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pripada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44,1% </w:t>
      </w:r>
      <w:r>
        <w:rPr>
          <w:rFonts w:ascii="Tahoma" w:hAnsi="Tahoma" w:cs="Tahoma"/>
          <w:sz w:val="18"/>
          <w:szCs w:val="18"/>
          <w:lang w:val="sr-Cyrl-BA"/>
        </w:rPr>
        <w:t>radova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razvojnim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istraživanjima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pripada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41,2% </w:t>
      </w:r>
      <w:r>
        <w:rPr>
          <w:rFonts w:ascii="Tahoma" w:hAnsi="Tahoma" w:cs="Tahoma"/>
          <w:sz w:val="18"/>
          <w:szCs w:val="18"/>
          <w:lang w:val="sr-Cyrl-BA"/>
        </w:rPr>
        <w:t>radova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fundamentalnim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istraživanjima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14,8% </w:t>
      </w:r>
      <w:r>
        <w:rPr>
          <w:rFonts w:ascii="Tahoma" w:hAnsi="Tahoma" w:cs="Tahoma"/>
          <w:sz w:val="18"/>
          <w:szCs w:val="18"/>
          <w:lang w:val="sr-Cyrl-BA"/>
        </w:rPr>
        <w:t>radova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6A1C9B" w:rsidP="00CA04C8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 49 </w:t>
      </w:r>
      <w:r>
        <w:rPr>
          <w:rFonts w:ascii="Tahoma" w:hAnsi="Tahoma" w:cs="Tahoma"/>
          <w:sz w:val="18"/>
          <w:szCs w:val="18"/>
          <w:lang w:val="sr-Cyrl-BA"/>
        </w:rPr>
        <w:t>jedinica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bavilo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istraživanjem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razvojem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čega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16 </w:t>
      </w:r>
      <w:r>
        <w:rPr>
          <w:rFonts w:ascii="Tahoma" w:hAnsi="Tahoma" w:cs="Tahoma"/>
          <w:sz w:val="18"/>
          <w:szCs w:val="18"/>
          <w:lang w:val="sr-Cyrl-BA"/>
        </w:rPr>
        <w:t>izvještajnih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jedinica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pripada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28 </w:t>
      </w:r>
      <w:r>
        <w:rPr>
          <w:rFonts w:ascii="Tahoma" w:hAnsi="Tahoma" w:cs="Tahoma"/>
          <w:sz w:val="18"/>
          <w:szCs w:val="18"/>
          <w:lang w:val="sr-Cyrl-BA"/>
        </w:rPr>
        <w:t>izvještajnih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jedinica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visokom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obrazovanju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, 4 </w:t>
      </w:r>
      <w:r>
        <w:rPr>
          <w:rFonts w:ascii="Tahoma" w:hAnsi="Tahoma" w:cs="Tahoma"/>
          <w:sz w:val="18"/>
          <w:szCs w:val="18"/>
          <w:lang w:val="sr-Cyrl-BA"/>
        </w:rPr>
        <w:t>izvještajne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jedinice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državnom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jedna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jedinica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neprofitnom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sektoru</w:t>
      </w:r>
      <w:r w:rsidR="00CA04C8" w:rsidRPr="00E11BB8">
        <w:rPr>
          <w:rFonts w:ascii="Tahoma" w:hAnsi="Tahoma" w:cs="Tahoma"/>
          <w:sz w:val="18"/>
          <w:szCs w:val="18"/>
          <w:lang w:val="sr-Cyrl-BA"/>
        </w:rPr>
        <w:t>.</w:t>
      </w:r>
    </w:p>
    <w:p w:rsidR="00CA04C8" w:rsidRPr="00E11BB8" w:rsidRDefault="00CA04C8" w:rsidP="00CA04C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lastRenderedPageBreak/>
        <w:t xml:space="preserve">                                      </w:t>
      </w:r>
      <w:r w:rsidR="00BC6143" w:rsidRPr="00E11BB8">
        <w:rPr>
          <w:rFonts w:ascii="Tahoma" w:hAnsi="Tahoma" w:cs="Tahoma"/>
          <w:sz w:val="18"/>
          <w:szCs w:val="18"/>
          <w:lang w:val="sr-Cyrl-BA"/>
        </w:rPr>
        <w:t xml:space="preserve">                               </w:t>
      </w:r>
      <w:r w:rsidR="00BC6143" w:rsidRPr="00E11BB8">
        <w:rPr>
          <w:rFonts w:ascii="Tahoma" w:hAnsi="Tahoma" w:cs="Tahoma"/>
          <w:sz w:val="18"/>
          <w:szCs w:val="18"/>
        </w:rPr>
        <w:t xml:space="preserve">    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hilj</w:t>
      </w:r>
      <w:r w:rsidRPr="00E11BB8">
        <w:rPr>
          <w:rFonts w:ascii="Tahoma" w:hAnsi="Tahoma" w:cs="Tahoma"/>
          <w:sz w:val="18"/>
          <w:szCs w:val="18"/>
          <w:lang w:val="sr-Cyrl-BA"/>
        </w:rPr>
        <w:t>.</w:t>
      </w:r>
      <w:r w:rsidRPr="00E11BB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3753134" cy="262037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</w:p>
    <w:p w:rsidR="00CA04C8" w:rsidRPr="00E11BB8" w:rsidRDefault="00CA04C8" w:rsidP="00CA04C8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E11BB8">
        <w:rPr>
          <w:rFonts w:ascii="Tahoma" w:hAnsi="Tahoma" w:cs="Tahoma"/>
          <w:sz w:val="18"/>
          <w:szCs w:val="18"/>
          <w:lang w:val="sr-Cyrl-BA"/>
        </w:rPr>
        <w:tab/>
      </w:r>
      <w:r w:rsidR="006A1C9B">
        <w:rPr>
          <w:rFonts w:ascii="Tahoma" w:hAnsi="Tahoma" w:cs="Tahoma"/>
          <w:sz w:val="18"/>
          <w:szCs w:val="18"/>
          <w:lang w:val="sr-Cyrl-BA"/>
        </w:rPr>
        <w:t>Grafikon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C25AA" w:rsidRPr="00E11BB8">
        <w:rPr>
          <w:rFonts w:ascii="Tahoma" w:hAnsi="Tahoma" w:cs="Tahoma"/>
          <w:sz w:val="18"/>
          <w:szCs w:val="18"/>
        </w:rPr>
        <w:t>3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. </w:t>
      </w:r>
      <w:r w:rsidR="006A1C9B">
        <w:rPr>
          <w:rFonts w:ascii="Tahoma" w:hAnsi="Tahoma" w:cs="Tahoma"/>
          <w:sz w:val="18"/>
          <w:szCs w:val="18"/>
          <w:lang w:val="sr-Cyrl-BA"/>
        </w:rPr>
        <w:t>Bruto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domaći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izdaci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za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istraživanje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i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razvoj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prema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vrsti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i</w:t>
      </w:r>
      <w:r w:rsidRPr="00E11BB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1C9B">
        <w:rPr>
          <w:rFonts w:ascii="Tahoma" w:hAnsi="Tahoma" w:cs="Tahoma"/>
          <w:sz w:val="18"/>
          <w:szCs w:val="18"/>
          <w:lang w:val="sr-Cyrl-BA"/>
        </w:rPr>
        <w:t>sektorima</w:t>
      </w:r>
    </w:p>
    <w:p w:rsidR="00CA04C8" w:rsidRDefault="00CA04C8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6A1C9B" w:rsidRDefault="006A1C9B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6A1C9B" w:rsidRDefault="006A1C9B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6A1C9B" w:rsidRDefault="006A1C9B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6A1C9B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E11BB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6A1C9B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E11BB8" w:rsidRDefault="006A1C9B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Danica</w:t>
            </w:r>
            <w:r w:rsidR="000F0E43" w:rsidRPr="00E11BB8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Babić</w:t>
            </w:r>
          </w:p>
          <w:p w:rsidR="00A23F12" w:rsidRPr="00E11BB8" w:rsidRDefault="00217CDC" w:rsidP="000F0E43">
            <w:hyperlink r:id="rId12" w:history="1"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danica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bs-Cyrl-BA"/>
                </w:rPr>
                <w:t>.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babic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0F0E43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0F0E43" w:rsidRPr="00E11BB8" w:rsidRDefault="006A1C9B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A23F12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A23F12" w:rsidRPr="00E11BB8" w:rsidRDefault="00217CDC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B21ED5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vladimir.koprivica@rzs.rs.ba</w:t>
              </w:r>
            </w:hyperlink>
          </w:p>
          <w:p w:rsidR="00A23F12" w:rsidRPr="00E11BB8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E11BB8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CC25AA" w:rsidRPr="00E11BB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C25AA" w:rsidRPr="00E11BB8" w:rsidRDefault="006A1C9B" w:rsidP="00CC25AA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CC25AA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CC25AA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</w:p>
          <w:p w:rsidR="00CC25AA" w:rsidRPr="00E11BB8" w:rsidRDefault="006A1C9B" w:rsidP="00CC25AA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Milka</w:t>
            </w:r>
            <w:r w:rsidR="00CC25AA" w:rsidRPr="00E11BB8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Ciganović</w:t>
            </w:r>
          </w:p>
          <w:p w:rsidR="00CC25AA" w:rsidRPr="00E11BB8" w:rsidRDefault="00217CDC" w:rsidP="00CC25AA">
            <w:hyperlink r:id="rId14" w:history="1"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milka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bs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ciganovic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CC25AA" w:rsidRPr="00E11BB8" w:rsidRDefault="006A1C9B" w:rsidP="00CC25A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Jadranka</w:t>
            </w:r>
            <w:r w:rsidR="00CC25AA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Luburić</w:t>
            </w:r>
          </w:p>
          <w:p w:rsidR="00CC25AA" w:rsidRPr="00E11BB8" w:rsidRDefault="00217CDC" w:rsidP="00CC25AA">
            <w:pPr>
              <w:rPr>
                <w:rFonts w:ascii="Tahoma" w:hAnsi="Tahoma" w:cs="Tahoma"/>
                <w:sz w:val="16"/>
              </w:rPr>
            </w:pPr>
            <w:hyperlink r:id="rId15" w:history="1">
              <w:r w:rsidR="00CC25A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jadranka.luburic@rzs.rs.ba</w:t>
              </w:r>
            </w:hyperlink>
          </w:p>
          <w:p w:rsidR="00CC25AA" w:rsidRPr="00E11BB8" w:rsidRDefault="00CC25AA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E11BB8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6A1C9B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6A1C9B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E11BB8" w:rsidRDefault="00217CDC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6A1C9B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6A1C9B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E11BB8" w:rsidRDefault="00217CDC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6A1C9B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6A1C9B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E11BB8" w:rsidRDefault="00217CDC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E11BB8" w:rsidRDefault="006A1C9B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unutrašnje</w:t>
            </w:r>
            <w:r w:rsidR="008D6CFA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D6CFA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Pr="00E11BB8" w:rsidRDefault="006A1C9B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Sanela</w:t>
            </w:r>
            <w:r w:rsidR="008D6CFA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Vasiljević</w:t>
            </w:r>
          </w:p>
          <w:p w:rsidR="008D6CFA" w:rsidRPr="00E11BB8" w:rsidRDefault="00217CDC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sanela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vasiljevic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D6CFA" w:rsidRPr="00E11BB8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E859F8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859F8" w:rsidRPr="00E11BB8" w:rsidRDefault="006A1C9B" w:rsidP="00E859F8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E859F8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turizma</w:t>
            </w:r>
            <w:r w:rsidR="00E859F8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E859F8" w:rsidRPr="00E11BB8" w:rsidRDefault="006A1C9B" w:rsidP="00E859F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Miroslav</w:t>
            </w:r>
            <w:r w:rsidR="00E859F8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Ilić</w:t>
            </w:r>
          </w:p>
          <w:p w:rsidR="00E859F8" w:rsidRPr="00E11BB8" w:rsidRDefault="00217CDC" w:rsidP="00E859F8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0" w:history="1"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miroslav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ilic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E859F8" w:rsidRPr="00E11BB8" w:rsidRDefault="00E859F8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BC6143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C6143" w:rsidRPr="00E11BB8" w:rsidRDefault="006A1C9B" w:rsidP="00BC61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1B5DF0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istraživanja</w:t>
            </w:r>
            <w:r w:rsidR="001B5DF0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1B5DF0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razvoja</w:t>
            </w:r>
            <w:r w:rsidR="00BC61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BC6143" w:rsidRPr="00E11BB8" w:rsidRDefault="006A1C9B" w:rsidP="00BC614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Dolores</w:t>
            </w:r>
            <w:r w:rsidR="001B5DF0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Peulić</w:t>
            </w:r>
          </w:p>
          <w:p w:rsidR="00BC6143" w:rsidRPr="00E11BB8" w:rsidRDefault="00217CDC" w:rsidP="00BC6143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1" w:history="1"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dolores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peulic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1B5DF0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BC6143" w:rsidRPr="00E11BB8" w:rsidRDefault="00BC6143" w:rsidP="00BC6143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6A1C9B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6A1C9B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217CD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217CDC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6A1C9B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2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6A1C9B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E11BB8" w:rsidRDefault="00217CDC" w:rsidP="008C3261">
      <w:pPr>
        <w:rPr>
          <w:lang w:val="sr-Cyrl-BA"/>
        </w:rPr>
      </w:pPr>
      <w:r w:rsidRPr="00217CDC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23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25" w:rsidRDefault="001D2625">
      <w:r>
        <w:separator/>
      </w:r>
    </w:p>
  </w:endnote>
  <w:endnote w:type="continuationSeparator" w:id="0">
    <w:p w:rsidR="001D2625" w:rsidRDefault="001D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25" w:rsidRDefault="001D2625">
      <w:r>
        <w:separator/>
      </w:r>
    </w:p>
  </w:footnote>
  <w:footnote w:type="continuationSeparator" w:id="0">
    <w:p w:rsidR="001D2625" w:rsidRDefault="001D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1D262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D2625" w:rsidRPr="006A1C9B" w:rsidRDefault="006A1C9B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Republički zavod za statistiku</w:t>
          </w:r>
        </w:p>
        <w:p w:rsidR="001D2625" w:rsidRPr="006A1C9B" w:rsidRDefault="006A1C9B" w:rsidP="00E34FA2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D2625" w:rsidRPr="005D5311" w:rsidRDefault="001D2625" w:rsidP="006A1C9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5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6A1C9B">
            <w:rPr>
              <w:rFonts w:ascii="Tahoma" w:hAnsi="Tahoma" w:cs="Tahoma"/>
              <w:color w:val="0070C0"/>
              <w:sz w:val="16"/>
              <w:lang w:val="sr-Latn-CS"/>
            </w:rPr>
            <w:t>novembar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1/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217CDC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217CDC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6A1C9B">
            <w:rPr>
              <w:rStyle w:val="PageNumber"/>
              <w:rFonts w:ascii="Tahoma" w:hAnsi="Tahoma"/>
              <w:b/>
              <w:noProof/>
              <w:color w:val="0070C0"/>
            </w:rPr>
            <w:t>8</w:t>
          </w:r>
          <w:r w:rsidR="00217CDC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1D2625" w:rsidRDefault="00217CDC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217CDC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CDC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C9B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dolores.peulic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ca.babic@rzs.rs.ba" TargetMode="External"/><Relationship Id="rId17" Type="http://schemas.openxmlformats.org/officeDocument/2006/relationships/hyperlink" Target="mailto:mirjana.bandur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yperlink" Target="mailto:miroslav.il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dranka.luburic@rzs.rs.ba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mailto:sanela.vasiljev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lka.ciganov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babicda\My%20Documents\BILJA\Plate%202011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okt2011\zaGraf%20okt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3"/>
          <c:w val="0.65206660337670563"/>
          <c:h val="0.74715927458220432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779</c:v>
                </c:pt>
                <c:pt idx="1">
                  <c:v>791</c:v>
                </c:pt>
                <c:pt idx="2">
                  <c:v>798</c:v>
                </c:pt>
                <c:pt idx="3">
                  <c:v>798</c:v>
                </c:pt>
                <c:pt idx="4">
                  <c:v>804</c:v>
                </c:pt>
                <c:pt idx="5">
                  <c:v>807</c:v>
                </c:pt>
                <c:pt idx="6">
                  <c:v>803</c:v>
                </c:pt>
                <c:pt idx="7">
                  <c:v>816</c:v>
                </c:pt>
                <c:pt idx="8">
                  <c:v>817</c:v>
                </c:pt>
                <c:pt idx="9">
                  <c:v>811</c:v>
                </c:pt>
                <c:pt idx="10">
                  <c:v>813</c:v>
                </c:pt>
                <c:pt idx="11">
                  <c:v>807</c:v>
                </c:pt>
                <c:pt idx="12">
                  <c:v>802</c:v>
                </c:pt>
              </c:numCache>
            </c:numRef>
          </c:val>
        </c:ser>
        <c:marker val="1"/>
        <c:axId val="52091904"/>
        <c:axId val="53195520"/>
      </c:lineChart>
      <c:catAx>
        <c:axId val="52091904"/>
        <c:scaling>
          <c:orientation val="minMax"/>
        </c:scaling>
        <c:axPos val="b"/>
        <c:tickLblPos val="nextTo"/>
        <c:crossAx val="53195520"/>
        <c:crosses val="autoZero"/>
        <c:lblAlgn val="ctr"/>
        <c:lblOffset val="100"/>
      </c:catAx>
      <c:valAx>
        <c:axId val="53195520"/>
        <c:scaling>
          <c:orientation val="minMax"/>
          <c:min val="360"/>
        </c:scaling>
        <c:axPos val="l"/>
        <c:majorGridlines/>
        <c:numFmt formatCode="General" sourceLinked="1"/>
        <c:tickLblPos val="nextTo"/>
        <c:crossAx val="5209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94708404835652"/>
          <c:y val="0.43513119788154986"/>
          <c:w val="0.25405291595164425"/>
          <c:h val="0.12167050897238468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336550</c:v>
                </c:pt>
                <c:pt idx="1">
                  <c:v>370462</c:v>
                </c:pt>
                <c:pt idx="2">
                  <c:v>371725</c:v>
                </c:pt>
                <c:pt idx="3">
                  <c:v>282340</c:v>
                </c:pt>
                <c:pt idx="4">
                  <c:v>318159</c:v>
                </c:pt>
                <c:pt idx="5">
                  <c:v>370953</c:v>
                </c:pt>
                <c:pt idx="6">
                  <c:v>344250</c:v>
                </c:pt>
                <c:pt idx="7">
                  <c:v>344720</c:v>
                </c:pt>
                <c:pt idx="8">
                  <c:v>467781</c:v>
                </c:pt>
                <c:pt idx="9">
                  <c:v>408777</c:v>
                </c:pt>
                <c:pt idx="10">
                  <c:v>375445</c:v>
                </c:pt>
                <c:pt idx="11">
                  <c:v>423853</c:v>
                </c:pt>
                <c:pt idx="12">
                  <c:v>396712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180418</c:v>
                </c:pt>
                <c:pt idx="1">
                  <c:v>198072</c:v>
                </c:pt>
                <c:pt idx="2">
                  <c:v>180839</c:v>
                </c:pt>
                <c:pt idx="3">
                  <c:v>175608</c:v>
                </c:pt>
                <c:pt idx="4">
                  <c:v>191390</c:v>
                </c:pt>
                <c:pt idx="5">
                  <c:v>212435</c:v>
                </c:pt>
                <c:pt idx="6">
                  <c:v>213851</c:v>
                </c:pt>
                <c:pt idx="7">
                  <c:v>207617</c:v>
                </c:pt>
                <c:pt idx="8">
                  <c:v>228912</c:v>
                </c:pt>
                <c:pt idx="9">
                  <c:v>214293</c:v>
                </c:pt>
                <c:pt idx="10">
                  <c:v>218369</c:v>
                </c:pt>
                <c:pt idx="11">
                  <c:v>248961</c:v>
                </c:pt>
                <c:pt idx="12">
                  <c:v>220958</c:v>
                </c:pt>
              </c:numCache>
            </c:numRef>
          </c:val>
        </c:ser>
        <c:marker val="1"/>
        <c:axId val="53226112"/>
        <c:axId val="53240192"/>
      </c:lineChart>
      <c:catAx>
        <c:axId val="53226112"/>
        <c:scaling>
          <c:orientation val="minMax"/>
        </c:scaling>
        <c:axPos val="b"/>
        <c:tickLblPos val="nextTo"/>
        <c:crossAx val="53240192"/>
        <c:crosses val="autoZero"/>
        <c:auto val="1"/>
        <c:lblAlgn val="ctr"/>
        <c:lblOffset val="100"/>
      </c:catAx>
      <c:valAx>
        <c:axId val="53240192"/>
        <c:scaling>
          <c:orientation val="minMax"/>
        </c:scaling>
        <c:axPos val="l"/>
        <c:majorGridlines/>
        <c:numFmt formatCode="#\ ##0" sourceLinked="0"/>
        <c:tickLblPos val="nextTo"/>
        <c:crossAx val="5322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188"/>
          <c:w val="0.17661111111111141"/>
          <c:h val="0.16743438320210058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plotArea>
      <c:layout>
        <c:manualLayout>
          <c:layoutTarget val="inner"/>
          <c:xMode val="edge"/>
          <c:yMode val="edge"/>
          <c:x val="0.18761760171632647"/>
          <c:y val="7.0025988696252789E-2"/>
          <c:w val="0.70117233624279995"/>
          <c:h val="0.684316624585366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Пословни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10017</c:v>
                </c:pt>
                <c:pt idx="1">
                  <c:v>8520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Државни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1670</c:v>
                </c:pt>
                <c:pt idx="1">
                  <c:v>2019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Високо образовање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12879</c:v>
                </c:pt>
                <c:pt idx="1">
                  <c:v>10091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Непрофитни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  <c:pt idx="1">
                  <c:v>149</c:v>
                </c:pt>
              </c:numCache>
            </c:numRef>
          </c:val>
        </c:ser>
        <c:axId val="53275648"/>
        <c:axId val="33571584"/>
      </c:barChart>
      <c:catAx>
        <c:axId val="53275648"/>
        <c:scaling>
          <c:orientation val="minMax"/>
        </c:scaling>
        <c:axPos val="b"/>
        <c:numFmt formatCode="General" sourceLinked="1"/>
        <c:tickLblPos val="nextTo"/>
        <c:crossAx val="33571584"/>
        <c:crosses val="autoZero"/>
        <c:auto val="1"/>
        <c:lblAlgn val="ctr"/>
        <c:lblOffset val="100"/>
      </c:catAx>
      <c:valAx>
        <c:axId val="33571584"/>
        <c:scaling>
          <c:orientation val="minMax"/>
        </c:scaling>
        <c:axPos val="l"/>
        <c:majorGridlines/>
        <c:numFmt formatCode="#\ ##0" sourceLinked="0"/>
        <c:tickLblPos val="nextTo"/>
        <c:crossAx val="53275648"/>
        <c:crosses val="autoZero"/>
        <c:crossBetween val="between"/>
        <c:majorUnit val="2000"/>
      </c:valAx>
    </c:plotArea>
    <c:legend>
      <c:legendPos val="b"/>
      <c:layout/>
    </c:legend>
    <c:plotVisOnly val="1"/>
  </c:chart>
  <c:spPr>
    <a:noFill/>
    <a:ln>
      <a:noFill/>
    </a:ln>
  </c:spPr>
  <c:txPr>
    <a:bodyPr/>
    <a:lstStyle/>
    <a:p>
      <a:pPr>
        <a:defRPr sz="800">
          <a:latin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914B-9368-4140-ADFC-76D28C3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2672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19127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67</cp:revision>
  <cp:lastPrinted>2011-11-25T06:54:00Z</cp:lastPrinted>
  <dcterms:created xsi:type="dcterms:W3CDTF">2011-10-26T11:34:00Z</dcterms:created>
  <dcterms:modified xsi:type="dcterms:W3CDTF">2011-11-25T12:25:00Z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