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773" w:type="dxa"/>
        <w:tblCellMar>
          <w:left w:w="0" w:type="dxa"/>
          <w:right w:w="0" w:type="dxa"/>
        </w:tblCellMar>
        <w:tblLook w:val="0000"/>
      </w:tblPr>
      <w:tblGrid>
        <w:gridCol w:w="5385"/>
        <w:gridCol w:w="2392"/>
        <w:gridCol w:w="2996"/>
      </w:tblGrid>
      <w:tr w:rsidR="005D5311" w:rsidRPr="00B91055" w:rsidTr="004C396C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Default="005D5311" w:rsidP="004C396C">
            <w:pPr>
              <w:ind w:left="113"/>
              <w:outlineLvl w:val="0"/>
              <w:rPr>
                <w:rFonts w:ascii="Tahoma" w:hAnsi="Tahoma" w:cs="Tahoma"/>
                <w:color w:val="FFCC00"/>
                <w:sz w:val="16"/>
              </w:rPr>
            </w:pPr>
            <w:r>
              <w:rPr>
                <w:rFonts w:ascii="Tahoma" w:hAnsi="Tahoma" w:cs="Tahoma"/>
              </w:rPr>
              <w:br w:type="column"/>
            </w:r>
            <w:r>
              <w:rPr>
                <w:rFonts w:ascii="Tahoma" w:hAnsi="Tahoma" w:cs="Tahoma"/>
              </w:rPr>
              <w:br w:type="column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  <w:noProof/>
                <w:color w:val="FFCC00"/>
                <w:sz w:val="16"/>
              </w:rPr>
              <w:drawing>
                <wp:inline distT="0" distB="0" distL="0" distR="0">
                  <wp:extent cx="3028950" cy="647700"/>
                  <wp:effectExtent l="19050" t="0" r="0" b="0"/>
                  <wp:docPr id="4" name="Picture 7" descr="Novi znak RZS 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vi znak RZS 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Default="005D5311" w:rsidP="004C396C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Default="005D5311" w:rsidP="004C396C">
            <w:pPr>
              <w:ind w:left="113"/>
              <w:jc w:val="right"/>
              <w:outlineLvl w:val="0"/>
              <w:rPr>
                <w:rFonts w:ascii="Tahoma" w:hAnsi="Tahoma" w:cs="Tahoma"/>
                <w:color w:val="0070C0"/>
                <w:sz w:val="16"/>
                <w:lang w:val="sr-Cyrl-BA"/>
              </w:rPr>
            </w:pPr>
          </w:p>
          <w:p w:rsidR="005D5311" w:rsidRDefault="005D5311" w:rsidP="004C396C">
            <w:pPr>
              <w:ind w:left="113"/>
              <w:jc w:val="right"/>
              <w:outlineLvl w:val="0"/>
              <w:rPr>
                <w:rFonts w:ascii="Tahoma" w:hAnsi="Tahoma" w:cs="Tahoma"/>
                <w:color w:val="0070C0"/>
                <w:sz w:val="16"/>
                <w:lang w:val="sr-Cyrl-BA"/>
              </w:rPr>
            </w:pPr>
          </w:p>
          <w:p w:rsidR="005D5311" w:rsidRPr="004A6092" w:rsidRDefault="005D5311" w:rsidP="005D5311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bs-Latn-BA"/>
              </w:rPr>
            </w:pPr>
            <w:r w:rsidRPr="008F3819">
              <w:rPr>
                <w:rFonts w:ascii="Tahoma" w:hAnsi="Tahoma" w:cs="Tahoma"/>
                <w:color w:val="0070C0"/>
                <w:sz w:val="16"/>
                <w:lang w:val="sr-Cyrl-BA"/>
              </w:rPr>
              <w:t>[</w:t>
            </w:r>
            <w:r>
              <w:rPr>
                <w:rFonts w:ascii="Tahoma" w:hAnsi="Tahoma" w:cs="Tahoma"/>
                <w:color w:val="0070C0"/>
                <w:sz w:val="16"/>
                <w:lang w:val="sr-Cyrl-CS"/>
              </w:rPr>
              <w:t>28</w:t>
            </w:r>
            <w:r>
              <w:rPr>
                <w:rFonts w:ascii="Tahoma" w:hAnsi="Tahoma" w:cs="Tahoma"/>
                <w:color w:val="3366FF"/>
                <w:sz w:val="16"/>
                <w:lang w:val="bs-Cyrl-BA"/>
              </w:rPr>
              <w:t xml:space="preserve">. </w:t>
            </w:r>
            <w:r w:rsidR="00541DAF">
              <w:rPr>
                <w:rFonts w:ascii="Tahoma" w:hAnsi="Tahoma" w:cs="Tahoma"/>
                <w:color w:val="3366FF"/>
                <w:sz w:val="16"/>
                <w:lang w:val="sr-Cyrl-CS"/>
              </w:rPr>
              <w:t>ju</w:t>
            </w:r>
            <w:r w:rsidR="00541DAF">
              <w:rPr>
                <w:rFonts w:ascii="Tahoma" w:hAnsi="Tahoma" w:cs="Tahoma"/>
                <w:color w:val="3366FF"/>
                <w:sz w:val="16"/>
                <w:lang w:val="bs-Cyrl-BA"/>
              </w:rPr>
              <w:t>l</w:t>
            </w:r>
            <w:r>
              <w:rPr>
                <w:rFonts w:ascii="Tahoma" w:hAnsi="Tahoma" w:cs="Tahoma"/>
                <w:color w:val="3366FF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color w:val="0070C0"/>
                <w:sz w:val="16"/>
                <w:lang w:val="sr-Cyrl-BA"/>
              </w:rPr>
              <w:t>201</w:t>
            </w:r>
            <w:r w:rsidRPr="006309EA">
              <w:rPr>
                <w:rFonts w:ascii="Tahoma" w:hAnsi="Tahoma" w:cs="Tahoma"/>
                <w:color w:val="0070C0"/>
                <w:sz w:val="16"/>
                <w:lang w:val="sr-Cyrl-BA"/>
              </w:rPr>
              <w:t>1</w:t>
            </w:r>
            <w:r w:rsidRPr="008F3819">
              <w:rPr>
                <w:rFonts w:ascii="Tahoma" w:hAnsi="Tahoma" w:cs="Tahoma"/>
                <w:color w:val="0070C0"/>
                <w:sz w:val="16"/>
                <w:lang w:val="sr-Cyrl-BA"/>
              </w:rPr>
              <w:t xml:space="preserve">.]  </w:t>
            </w:r>
            <w:r>
              <w:rPr>
                <w:rFonts w:ascii="Tahoma" w:hAnsi="Tahoma" w:cs="Tahoma"/>
                <w:b/>
                <w:color w:val="0070C0"/>
                <w:sz w:val="32"/>
                <w:szCs w:val="32"/>
                <w:lang w:val="sr-Cyrl-BA"/>
              </w:rPr>
              <w:t>07</w:t>
            </w:r>
            <w:r w:rsidRPr="008F3819">
              <w:rPr>
                <w:rFonts w:ascii="Tahoma" w:hAnsi="Tahoma" w:cs="Tahoma"/>
                <w:b/>
                <w:color w:val="0070C0"/>
                <w:sz w:val="32"/>
                <w:szCs w:val="32"/>
                <w:lang w:val="sr-Cyrl-BA"/>
              </w:rPr>
              <w:t>/</w:t>
            </w:r>
            <w:r w:rsidRPr="006309EA">
              <w:rPr>
                <w:rFonts w:ascii="Tahoma" w:hAnsi="Tahoma" w:cs="Tahoma"/>
                <w:b/>
                <w:color w:val="0070C0"/>
                <w:sz w:val="32"/>
                <w:szCs w:val="32"/>
                <w:lang w:val="sr-Cyrl-BA"/>
              </w:rPr>
              <w:t>1</w:t>
            </w:r>
            <w:r>
              <w:rPr>
                <w:rFonts w:ascii="Tahoma" w:hAnsi="Tahoma" w:cs="Tahoma"/>
                <w:b/>
                <w:color w:val="0070C0"/>
                <w:sz w:val="32"/>
                <w:szCs w:val="32"/>
                <w:lang w:val="sr-Cyrl-CS"/>
              </w:rPr>
              <w:t>1</w:t>
            </w:r>
          </w:p>
        </w:tc>
      </w:tr>
      <w:tr w:rsidR="005D5311" w:rsidRPr="00B91055" w:rsidTr="004C396C">
        <w:trPr>
          <w:cantSplit/>
        </w:trPr>
        <w:tc>
          <w:tcPr>
            <w:tcW w:w="5385" w:type="dxa"/>
            <w:vAlign w:val="center"/>
          </w:tcPr>
          <w:p w:rsidR="005D5311" w:rsidRPr="008F3819" w:rsidRDefault="005D5311" w:rsidP="004C396C">
            <w:pPr>
              <w:ind w:left="113"/>
              <w:jc w:val="center"/>
              <w:outlineLvl w:val="0"/>
              <w:rPr>
                <w:rFonts w:ascii="Tahoma" w:hAnsi="Tahoma" w:cs="Tahoma"/>
                <w:color w:val="FFFFFF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8F3819" w:rsidRDefault="005D5311" w:rsidP="004C396C">
            <w:pPr>
              <w:ind w:left="113"/>
              <w:jc w:val="center"/>
              <w:outlineLvl w:val="0"/>
              <w:rPr>
                <w:rFonts w:ascii="Tahoma" w:hAnsi="Tahoma" w:cs="Tahoma"/>
                <w:color w:val="FFFFFF"/>
                <w:sz w:val="12"/>
                <w:lang w:val="sr-Cyrl-BA"/>
              </w:rPr>
            </w:pPr>
          </w:p>
        </w:tc>
      </w:tr>
    </w:tbl>
    <w:p w:rsidR="000971CB" w:rsidRPr="008F3819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B91055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8728B3" w:rsidRDefault="00541DAF" w:rsidP="00F2311A">
            <w:pPr>
              <w:jc w:val="center"/>
              <w:outlineLvl w:val="0"/>
              <w:rPr>
                <w:b/>
                <w:color w:val="FFFFFF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sr-Cyrl-CS"/>
              </w:rPr>
              <w:t>jul</w:t>
            </w:r>
            <w:r w:rsidR="002F5E38"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sr-Cyrl-BA"/>
              </w:rPr>
              <w:t xml:space="preserve"> </w:t>
            </w:r>
            <w:r w:rsidR="00FB64BA"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ru-RU"/>
              </w:rPr>
              <w:t>2011</w:t>
            </w:r>
            <w:r w:rsidR="002F5E38" w:rsidRPr="008728B3"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ru-RU"/>
              </w:rPr>
              <w:t>godine</w:t>
            </w:r>
          </w:p>
        </w:tc>
      </w:tr>
      <w:tr w:rsidR="00193339" w:rsidRPr="00B91055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2E61A6" w:rsidRDefault="00541DAF" w:rsidP="008728B3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rFonts w:ascii="Tahoma" w:hAnsi="Tahoma" w:cs="Tahoma"/>
                <w:bCs/>
                <w:color w:val="FFFFFF"/>
                <w:spacing w:val="30"/>
                <w:sz w:val="24"/>
                <w:szCs w:val="24"/>
                <w:lang w:val="ru-RU"/>
              </w:rPr>
              <w:t>SAOPŠTENJE</w:t>
            </w:r>
            <w:r w:rsidR="008728B3" w:rsidRPr="008728B3">
              <w:rPr>
                <w:rFonts w:ascii="Tahoma" w:hAnsi="Tahoma" w:cs="Tahoma"/>
                <w:bCs/>
                <w:color w:val="FFFFFF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/>
                <w:spacing w:val="30"/>
                <w:sz w:val="24"/>
                <w:szCs w:val="24"/>
                <w:lang w:val="ru-RU"/>
              </w:rPr>
              <w:t>ZA</w:t>
            </w:r>
            <w:r w:rsidR="008728B3" w:rsidRPr="008728B3">
              <w:rPr>
                <w:rFonts w:ascii="Tahoma" w:hAnsi="Tahoma" w:cs="Tahoma"/>
                <w:bCs/>
                <w:color w:val="FFFFFF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/>
                <w:spacing w:val="30"/>
                <w:sz w:val="24"/>
                <w:szCs w:val="24"/>
                <w:lang w:val="ru-RU"/>
              </w:rPr>
              <w:t>MEDIJE</w:t>
            </w:r>
          </w:p>
        </w:tc>
      </w:tr>
    </w:tbl>
    <w:p w:rsidR="00B07584" w:rsidRPr="003612AC" w:rsidRDefault="00B07584" w:rsidP="009215D1">
      <w:pPr>
        <w:spacing w:line="360" w:lineRule="auto"/>
        <w:jc w:val="both"/>
        <w:rPr>
          <w:lang w:val="sr-Cyrl-BA"/>
        </w:rPr>
      </w:pPr>
    </w:p>
    <w:p w:rsidR="00270462" w:rsidRPr="0052611C" w:rsidRDefault="00476E53" w:rsidP="00476E53">
      <w:pPr>
        <w:ind w:left="-142"/>
        <w:rPr>
          <w:rFonts w:ascii="Tahoma" w:hAnsi="Tahoma" w:cs="Tahoma"/>
          <w:b/>
          <w:sz w:val="28"/>
          <w:szCs w:val="28"/>
          <w:lang w:val="sr-Cyrl-CS"/>
        </w:rPr>
      </w:pPr>
      <w:r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541DAF">
        <w:rPr>
          <w:rFonts w:ascii="Tahoma" w:hAnsi="Tahoma" w:cs="Tahoma"/>
          <w:b/>
          <w:sz w:val="28"/>
          <w:szCs w:val="28"/>
          <w:lang w:val="sr-Cyrl-CS"/>
        </w:rPr>
        <w:t>Stopa</w:t>
      </w:r>
      <w:r w:rsidR="00270462"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541DAF">
        <w:rPr>
          <w:rFonts w:ascii="Tahoma" w:hAnsi="Tahoma" w:cs="Tahoma"/>
          <w:b/>
          <w:sz w:val="28"/>
          <w:szCs w:val="28"/>
          <w:lang w:val="sr-Cyrl-CS"/>
        </w:rPr>
        <w:t>realnog</w:t>
      </w:r>
      <w:r w:rsidR="00270462"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541DAF">
        <w:rPr>
          <w:rFonts w:ascii="Tahoma" w:hAnsi="Tahoma" w:cs="Tahoma"/>
          <w:b/>
          <w:sz w:val="28"/>
          <w:szCs w:val="28"/>
          <w:lang w:val="sr-Cyrl-CS"/>
        </w:rPr>
        <w:t>rasta</w:t>
      </w:r>
      <w:r w:rsidR="00CE1076"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541DAF">
        <w:rPr>
          <w:rFonts w:ascii="Tahoma" w:hAnsi="Tahoma" w:cs="Tahoma"/>
          <w:b/>
          <w:sz w:val="28"/>
          <w:szCs w:val="28"/>
          <w:lang w:val="sr-Cyrl-CS"/>
        </w:rPr>
        <w:t>BDP</w:t>
      </w:r>
      <w:r w:rsidR="00270462"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541DAF">
        <w:rPr>
          <w:rFonts w:ascii="Tahoma" w:hAnsi="Tahoma" w:cs="Tahoma"/>
          <w:b/>
          <w:sz w:val="28"/>
          <w:szCs w:val="28"/>
          <w:lang w:val="sr-Cyrl-CS"/>
        </w:rPr>
        <w:t>za</w:t>
      </w:r>
      <w:r w:rsidR="00270462" w:rsidRPr="0052611C">
        <w:rPr>
          <w:rFonts w:ascii="Tahoma" w:hAnsi="Tahoma" w:cs="Tahoma"/>
          <w:b/>
          <w:sz w:val="28"/>
          <w:szCs w:val="28"/>
          <w:lang w:val="sr-Cyrl-CS"/>
        </w:rPr>
        <w:t xml:space="preserve"> 2010. </w:t>
      </w:r>
      <w:r w:rsidR="00541DAF">
        <w:rPr>
          <w:rFonts w:ascii="Tahoma" w:hAnsi="Tahoma" w:cs="Tahoma"/>
          <w:b/>
          <w:sz w:val="28"/>
          <w:szCs w:val="28"/>
          <w:lang w:val="sr-Cyrl-CS"/>
        </w:rPr>
        <w:t>godinu</w:t>
      </w:r>
      <w:r w:rsidR="00270462" w:rsidRPr="0052611C">
        <w:rPr>
          <w:rFonts w:ascii="Tahoma" w:hAnsi="Tahoma" w:cs="Tahoma"/>
          <w:b/>
          <w:sz w:val="28"/>
          <w:szCs w:val="28"/>
          <w:lang w:val="sr-Cyrl-CS"/>
        </w:rPr>
        <w:t xml:space="preserve"> 0,8%</w:t>
      </w:r>
      <w:r w:rsidR="0051445D" w:rsidRPr="0052611C">
        <w:rPr>
          <w:rFonts w:ascii="Tahoma" w:hAnsi="Tahoma" w:cs="Tahoma"/>
          <w:b/>
          <w:sz w:val="28"/>
          <w:szCs w:val="28"/>
          <w:lang w:val="sr-Cyrl-CS"/>
        </w:rPr>
        <w:t xml:space="preserve"> (</w:t>
      </w:r>
      <w:r w:rsidR="00541DAF">
        <w:rPr>
          <w:rFonts w:ascii="Tahoma" w:hAnsi="Tahoma" w:cs="Tahoma"/>
          <w:b/>
          <w:sz w:val="28"/>
          <w:szCs w:val="28"/>
          <w:lang w:val="sr-Cyrl-CS"/>
        </w:rPr>
        <w:t>prethodni</w:t>
      </w:r>
      <w:r w:rsidR="0051445D"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541DAF">
        <w:rPr>
          <w:rFonts w:ascii="Tahoma" w:hAnsi="Tahoma" w:cs="Tahoma"/>
          <w:b/>
          <w:sz w:val="28"/>
          <w:szCs w:val="28"/>
          <w:lang w:val="sr-Cyrl-CS"/>
        </w:rPr>
        <w:t>podaci</w:t>
      </w:r>
      <w:r w:rsidR="0051445D" w:rsidRPr="0052611C">
        <w:rPr>
          <w:rFonts w:ascii="Tahoma" w:hAnsi="Tahoma" w:cs="Tahoma"/>
          <w:b/>
          <w:sz w:val="28"/>
          <w:szCs w:val="28"/>
          <w:lang w:val="sr-Cyrl-CS"/>
        </w:rPr>
        <w:t>)</w:t>
      </w:r>
    </w:p>
    <w:p w:rsidR="00270462" w:rsidRPr="0052611C" w:rsidRDefault="00476E53" w:rsidP="00476E53">
      <w:pPr>
        <w:ind w:left="-142"/>
        <w:rPr>
          <w:rFonts w:ascii="Tahoma" w:hAnsi="Tahoma" w:cs="Tahoma"/>
          <w:sz w:val="24"/>
          <w:szCs w:val="24"/>
          <w:lang w:val="sr-Cyrl-CS"/>
        </w:rPr>
      </w:pPr>
      <w:r w:rsidRPr="0052611C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541DAF">
        <w:rPr>
          <w:rFonts w:ascii="Tahoma" w:hAnsi="Tahoma" w:cs="Tahoma"/>
          <w:sz w:val="24"/>
          <w:szCs w:val="24"/>
          <w:lang w:val="sr-Cyrl-CS"/>
        </w:rPr>
        <w:t>U</w:t>
      </w:r>
      <w:r w:rsidR="00270462" w:rsidRPr="0052611C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541DAF">
        <w:rPr>
          <w:rFonts w:ascii="Tahoma" w:hAnsi="Tahoma" w:cs="Tahoma"/>
          <w:sz w:val="24"/>
          <w:szCs w:val="24"/>
          <w:lang w:val="sr-Cyrl-CS"/>
        </w:rPr>
        <w:t>odnosu</w:t>
      </w:r>
      <w:r w:rsidR="00270462" w:rsidRPr="0052611C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541DAF">
        <w:rPr>
          <w:rFonts w:ascii="Tahoma" w:hAnsi="Tahoma" w:cs="Tahoma"/>
          <w:sz w:val="24"/>
          <w:szCs w:val="24"/>
          <w:lang w:val="sr-Cyrl-CS"/>
        </w:rPr>
        <w:t>na</w:t>
      </w:r>
      <w:r w:rsidR="00270462" w:rsidRPr="0052611C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D6567D" w:rsidRPr="0052611C">
        <w:rPr>
          <w:rFonts w:ascii="Tahoma" w:hAnsi="Tahoma" w:cs="Tahoma"/>
          <w:sz w:val="24"/>
          <w:szCs w:val="24"/>
          <w:lang w:val="sr-Cyrl-CS"/>
        </w:rPr>
        <w:t>2009.</w:t>
      </w:r>
      <w:r w:rsidR="00270462" w:rsidRPr="0052611C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541DAF">
        <w:rPr>
          <w:rFonts w:ascii="Tahoma" w:hAnsi="Tahoma" w:cs="Tahoma"/>
          <w:sz w:val="24"/>
          <w:szCs w:val="24"/>
          <w:lang w:val="sr-Cyrl-CS"/>
        </w:rPr>
        <w:t>godinu</w:t>
      </w:r>
      <w:r w:rsidR="00D6567D" w:rsidRPr="0052611C">
        <w:rPr>
          <w:rFonts w:ascii="Tahoma" w:hAnsi="Tahoma" w:cs="Tahoma"/>
          <w:sz w:val="24"/>
          <w:szCs w:val="24"/>
          <w:lang w:val="sr-Cyrl-CS"/>
        </w:rPr>
        <w:t>,</w:t>
      </w:r>
      <w:r w:rsidR="00270462" w:rsidRPr="0052611C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541DAF">
        <w:rPr>
          <w:rFonts w:ascii="Tahoma" w:hAnsi="Tahoma" w:cs="Tahoma"/>
          <w:sz w:val="24"/>
          <w:szCs w:val="24"/>
          <w:lang w:val="sr-Cyrl-CS"/>
        </w:rPr>
        <w:t>BDP</w:t>
      </w:r>
      <w:r w:rsidR="00270462" w:rsidRPr="0052611C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541DAF">
        <w:rPr>
          <w:rFonts w:ascii="Tahoma" w:hAnsi="Tahoma" w:cs="Tahoma"/>
          <w:sz w:val="24"/>
          <w:szCs w:val="24"/>
          <w:lang w:val="sr-Cyrl-CS"/>
        </w:rPr>
        <w:t>nominalno</w:t>
      </w:r>
      <w:r w:rsidR="00270462" w:rsidRPr="0052611C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541DAF">
        <w:rPr>
          <w:rFonts w:ascii="Tahoma" w:hAnsi="Tahoma" w:cs="Tahoma"/>
          <w:sz w:val="24"/>
          <w:szCs w:val="24"/>
          <w:lang w:val="sr-Cyrl-CS"/>
        </w:rPr>
        <w:t>veći</w:t>
      </w:r>
      <w:r w:rsidR="00270462" w:rsidRPr="0052611C">
        <w:rPr>
          <w:rFonts w:ascii="Tahoma" w:hAnsi="Tahoma" w:cs="Tahoma"/>
          <w:sz w:val="24"/>
          <w:szCs w:val="24"/>
          <w:lang w:val="sr-Cyrl-CS"/>
        </w:rPr>
        <w:t xml:space="preserve"> 0,1%</w:t>
      </w:r>
      <w:r w:rsidR="0051445D" w:rsidRPr="0052611C">
        <w:rPr>
          <w:rFonts w:ascii="Tahoma" w:hAnsi="Tahoma" w:cs="Tahoma"/>
          <w:sz w:val="24"/>
          <w:szCs w:val="24"/>
          <w:lang w:val="sr-Cyrl-CS"/>
        </w:rPr>
        <w:t xml:space="preserve"> (</w:t>
      </w:r>
      <w:r w:rsidR="00541DAF">
        <w:rPr>
          <w:rFonts w:ascii="Tahoma" w:hAnsi="Tahoma" w:cs="Tahoma"/>
          <w:sz w:val="24"/>
          <w:szCs w:val="24"/>
          <w:lang w:val="sr-Cyrl-CS"/>
        </w:rPr>
        <w:t>prethodni</w:t>
      </w:r>
      <w:r w:rsidR="0051445D" w:rsidRPr="0052611C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541DAF">
        <w:rPr>
          <w:rFonts w:ascii="Tahoma" w:hAnsi="Tahoma" w:cs="Tahoma"/>
          <w:sz w:val="24"/>
          <w:szCs w:val="24"/>
          <w:lang w:val="sr-Cyrl-CS"/>
        </w:rPr>
        <w:t>podaci</w:t>
      </w:r>
      <w:r w:rsidR="0051445D" w:rsidRPr="0052611C">
        <w:rPr>
          <w:rFonts w:ascii="Tahoma" w:hAnsi="Tahoma" w:cs="Tahoma"/>
          <w:sz w:val="24"/>
          <w:szCs w:val="24"/>
          <w:lang w:val="sr-Cyrl-CS"/>
        </w:rPr>
        <w:t>)</w:t>
      </w:r>
    </w:p>
    <w:p w:rsidR="00E85AD4" w:rsidRPr="0052611C" w:rsidRDefault="00E85AD4" w:rsidP="004A08B4">
      <w:pPr>
        <w:tabs>
          <w:tab w:val="left" w:pos="-426"/>
          <w:tab w:val="left" w:pos="500"/>
          <w:tab w:val="left" w:pos="1134"/>
        </w:tabs>
        <w:ind w:hanging="142"/>
        <w:jc w:val="both"/>
        <w:outlineLvl w:val="0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62" w:type="dxa"/>
        <w:jc w:val="center"/>
        <w:tblCellMar>
          <w:left w:w="0" w:type="dxa"/>
          <w:right w:w="0" w:type="dxa"/>
        </w:tblCellMar>
        <w:tblLook w:val="0000"/>
      </w:tblPr>
      <w:tblGrid>
        <w:gridCol w:w="10462"/>
      </w:tblGrid>
      <w:tr w:rsidR="00E85AD4" w:rsidRPr="00B91055" w:rsidTr="00357478">
        <w:trPr>
          <w:trHeight w:hRule="exact" w:val="794"/>
          <w:jc w:val="center"/>
        </w:trPr>
        <w:tc>
          <w:tcPr>
            <w:tcW w:w="10462" w:type="dxa"/>
            <w:tcMar>
              <w:left w:w="57" w:type="dxa"/>
              <w:right w:w="57" w:type="dxa"/>
            </w:tcMar>
          </w:tcPr>
          <w:p w:rsidR="00E85AD4" w:rsidRPr="005D5311" w:rsidRDefault="00541DAF" w:rsidP="006B7A9D">
            <w:pPr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Bruto</w:t>
            </w:r>
            <w:r w:rsidR="00E85AD4" w:rsidRPr="005D531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domaći</w:t>
            </w:r>
            <w:r w:rsidR="00E85AD4" w:rsidRPr="005D531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proizvod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2010.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godinu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obračunat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primjenom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„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Proizvodne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metode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“,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iskazan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tekućim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cijenama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kao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prethodni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podatak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iznosi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>8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306 974 000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KM</w:t>
            </w:r>
            <w:r w:rsidR="00FD2C62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>,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odnosno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5 797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KM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stanovniku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odnosu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="00DF6FB6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>2009.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godinu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bruto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domaći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proizvod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je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nominalno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veći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1,0%,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realno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0,8%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>.</w:t>
            </w:r>
          </w:p>
          <w:p w:rsidR="00E85AD4" w:rsidRPr="005D5311" w:rsidRDefault="00E85AD4" w:rsidP="006B7A9D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E85AD4" w:rsidRPr="005D5311" w:rsidRDefault="00E85AD4" w:rsidP="006B7A9D">
            <w:pPr>
              <w:ind w:left="8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E85AD4" w:rsidRPr="00B91055" w:rsidTr="005D5311">
        <w:trPr>
          <w:trHeight w:hRule="exact" w:val="817"/>
          <w:jc w:val="center"/>
        </w:trPr>
        <w:tc>
          <w:tcPr>
            <w:tcW w:w="10462" w:type="dxa"/>
            <w:tcMar>
              <w:left w:w="57" w:type="dxa"/>
              <w:right w:w="57" w:type="dxa"/>
            </w:tcMar>
          </w:tcPr>
          <w:p w:rsidR="00E85AD4" w:rsidRPr="005D5311" w:rsidRDefault="00541DAF" w:rsidP="006B7A9D">
            <w:pPr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strukturi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bruto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domaćeg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proizvoda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najznačajnij</w:t>
            </w:r>
            <w:r w:rsidR="00E85AD4" w:rsidRPr="005D5311">
              <w:rPr>
                <w:rFonts w:ascii="Tahoma" w:hAnsi="Tahoma" w:cs="Tahoma"/>
                <w:sz w:val="18"/>
                <w:szCs w:val="18"/>
              </w:rPr>
              <w:t>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učešće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ima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područje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Trgovine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12,4%,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zatim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slijedi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Poljoprivreda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10,7%,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Državna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uprava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odbrana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obavezno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socijalno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osiguranje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9,8%,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potom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Poslovanje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nekretninama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iznajmljivanje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poslovne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djelatnosti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9,1%,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Prerađivačka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industrija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8,9%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itd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</w:p>
          <w:p w:rsidR="00E85AD4" w:rsidRPr="005D5311" w:rsidRDefault="00E85AD4" w:rsidP="006B7A9D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E85AD4" w:rsidRPr="00B91055" w:rsidTr="005D5311">
        <w:trPr>
          <w:trHeight w:hRule="exact" w:val="875"/>
          <w:jc w:val="center"/>
        </w:trPr>
        <w:tc>
          <w:tcPr>
            <w:tcW w:w="10462" w:type="dxa"/>
            <w:tcMar>
              <w:left w:w="57" w:type="dxa"/>
              <w:right w:w="57" w:type="dxa"/>
            </w:tcMar>
          </w:tcPr>
          <w:p w:rsidR="00E85AD4" w:rsidRPr="005D5311" w:rsidRDefault="00541DAF" w:rsidP="00D74290">
            <w:pPr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Najveći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realni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rast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područjima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djelatnosti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zabilježen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je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područjima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Vađenje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ruda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kamena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11,0%,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Prerađivačka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industrija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4,5%,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Ugostiteljstvo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3,6%,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Proizvodnja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snabdijevanje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električnom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energijom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gasom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vodom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3,0%,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dok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je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negativna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stopa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rasta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zabilježena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područjima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Ribarstvo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(–32,9%),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Građevinarstvo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(-7,9%)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Poljoprivreda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(-5,7%).</w:t>
            </w:r>
          </w:p>
        </w:tc>
      </w:tr>
      <w:tr w:rsidR="00E85AD4" w:rsidRPr="00B91055" w:rsidTr="00F415CC">
        <w:trPr>
          <w:trHeight w:hRule="exact" w:val="794"/>
          <w:jc w:val="center"/>
        </w:trPr>
        <w:tc>
          <w:tcPr>
            <w:tcW w:w="10462" w:type="dxa"/>
            <w:tcMar>
              <w:left w:w="57" w:type="dxa"/>
              <w:right w:w="57" w:type="dxa"/>
            </w:tcMar>
          </w:tcPr>
          <w:p w:rsidR="00E85AD4" w:rsidRPr="005D5311" w:rsidRDefault="00541DAF" w:rsidP="00FD2C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Prema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dohodovnom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pristupu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strukturi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bruto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domaćeg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proizvoda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sredstva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zaposlene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odnosi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46,6%,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potrošnju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fiksnog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kapitala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14,1%,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neto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porezi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proizvodnju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-0,2%,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neto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operativni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višak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neto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mješoviti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dohodak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ostaje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23,1%.</w:t>
            </w:r>
          </w:p>
        </w:tc>
      </w:tr>
      <w:tr w:rsidR="00E85AD4" w:rsidRPr="00B91055" w:rsidTr="005D5311">
        <w:trPr>
          <w:trHeight w:hRule="exact" w:val="753"/>
          <w:jc w:val="center"/>
        </w:trPr>
        <w:tc>
          <w:tcPr>
            <w:tcW w:w="10462" w:type="dxa"/>
            <w:tcMar>
              <w:left w:w="57" w:type="dxa"/>
              <w:right w:w="57" w:type="dxa"/>
            </w:tcMar>
          </w:tcPr>
          <w:p w:rsidR="00E85AD4" w:rsidRPr="005D5311" w:rsidRDefault="00541DAF" w:rsidP="006B7A9D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Bitno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je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naglasiti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obračun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bruto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dodate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vrijednosti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bruto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domaćeg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proizvoda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zasniva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konceptu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Sistema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nacionalnih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računa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SNA- 93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Evropskog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sistema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računa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ESA-95,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čime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je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značajnoj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mjeri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osigurana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međunarodna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uporedivost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ovih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podataka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</w:p>
        </w:tc>
      </w:tr>
      <w:tr w:rsidR="00E85AD4" w:rsidRPr="00B91055" w:rsidTr="00565FA3">
        <w:trPr>
          <w:trHeight w:hRule="exact" w:val="411"/>
          <w:jc w:val="center"/>
        </w:trPr>
        <w:tc>
          <w:tcPr>
            <w:tcW w:w="10462" w:type="dxa"/>
            <w:tcMar>
              <w:left w:w="57" w:type="dxa"/>
              <w:right w:w="57" w:type="dxa"/>
            </w:tcMar>
          </w:tcPr>
          <w:p w:rsidR="00E85AD4" w:rsidRPr="005D5311" w:rsidRDefault="00E85AD4" w:rsidP="006B7A9D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  <w:lang w:val="sr-Cyrl-CS"/>
              </w:rPr>
            </w:pPr>
          </w:p>
        </w:tc>
      </w:tr>
      <w:tr w:rsidR="00E85AD4" w:rsidRPr="00B91055" w:rsidTr="005D5311">
        <w:trPr>
          <w:trHeight w:hRule="exact" w:val="996"/>
          <w:jc w:val="center"/>
        </w:trPr>
        <w:tc>
          <w:tcPr>
            <w:tcW w:w="10462" w:type="dxa"/>
            <w:tcMar>
              <w:left w:w="57" w:type="dxa"/>
              <w:right w:w="57" w:type="dxa"/>
            </w:tcMar>
          </w:tcPr>
          <w:p w:rsidR="00E85AD4" w:rsidRPr="005D5311" w:rsidRDefault="00541DAF" w:rsidP="006B7A9D">
            <w:pPr>
              <w:tabs>
                <w:tab w:val="left" w:pos="308"/>
              </w:tabs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BA"/>
              </w:rPr>
              <w:t>Ostvarene</w:t>
            </w:r>
            <w:r w:rsidR="00E85AD4" w:rsidRPr="005D5311">
              <w:rPr>
                <w:rFonts w:ascii="Tahoma" w:hAnsi="Tahoma" w:cs="Tahoma"/>
                <w:b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sr-Cyrl-BA"/>
              </w:rPr>
              <w:t>investicije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poslovnih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subjekata</w:t>
            </w:r>
            <w:r w:rsidR="00CA36BA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(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prethodni</w:t>
            </w:r>
            <w:r w:rsidR="00CA36BA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podaci</w:t>
            </w:r>
            <w:r w:rsidR="00CA36BA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>)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čije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je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sjedište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Republici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Srpskoj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2010.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godini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iznosile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1 436 994 000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KM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strukturi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investicionih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ulaganja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prema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djelatnosti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investitora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najviše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učestvuju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D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ržavna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uprava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odbrana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obavezno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socijalno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osiguranje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29,1%,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Trgovin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14,2%, </w:t>
            </w:r>
            <w:r>
              <w:rPr>
                <w:rFonts w:ascii="Tahoma" w:hAnsi="Tahoma" w:cs="Tahoma"/>
                <w:i/>
                <w:sz w:val="18"/>
                <w:szCs w:val="18"/>
                <w:lang w:val="ru-RU"/>
              </w:rPr>
              <w:t>Prerađivačka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ru-RU"/>
              </w:rPr>
              <w:t>industrija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sa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 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>13,4%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itd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</w:p>
          <w:p w:rsidR="00E85AD4" w:rsidRPr="005D5311" w:rsidRDefault="00E85AD4" w:rsidP="006B7A9D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E85AD4" w:rsidRPr="00B91055" w:rsidTr="00F415CC">
        <w:trPr>
          <w:trHeight w:hRule="exact" w:val="1588"/>
          <w:jc w:val="center"/>
        </w:trPr>
        <w:tc>
          <w:tcPr>
            <w:tcW w:w="10462" w:type="dxa"/>
            <w:tcMar>
              <w:left w:w="57" w:type="dxa"/>
              <w:right w:w="57" w:type="dxa"/>
            </w:tcMar>
          </w:tcPr>
          <w:p w:rsidR="00E85AD4" w:rsidRPr="005D5311" w:rsidRDefault="00541DAF" w:rsidP="00445CA0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Ostvarene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investicije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poslovnih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subjekata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registrovanih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teritoriji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Republike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Srpske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nova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stalna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sredstva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prema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namjeni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investicija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2010.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godini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iznose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1 282 278 000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KM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Od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toga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teritoriji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Republike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Srpske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uloženo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je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1 261 582 000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KM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(98,4%),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teritoriji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Federacije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BiH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Brčko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Distrikta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20 667 000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KM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(1,6%),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dok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je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izvan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teritorije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BiH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uloženo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29 000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KM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strukturi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investicionih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ulaganja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nova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stalna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sredstva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teritoriji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Republike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Srpske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prema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namjeni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najviše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učestvuju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ahoma" w:hAnsi="Tahoma" w:cs="Tahoma"/>
                <w:i/>
                <w:sz w:val="18"/>
                <w:szCs w:val="18"/>
                <w:lang w:val="ru-RU"/>
              </w:rPr>
              <w:t>Građevinarstvo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sa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24,5%,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T</w:t>
            </w:r>
            <w:r>
              <w:rPr>
                <w:rFonts w:ascii="Tahoma" w:hAnsi="Tahoma" w:cs="Tahoma"/>
                <w:i/>
                <w:sz w:val="18"/>
                <w:szCs w:val="18"/>
                <w:lang w:val="ru-RU"/>
              </w:rPr>
              <w:t>rgovina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sa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 xml:space="preserve"> 13,3%,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ru-RU"/>
              </w:rPr>
              <w:t>Prerađivačka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ru-RU"/>
              </w:rPr>
              <w:t>industrija</w:t>
            </w:r>
            <w:r w:rsidR="00E85AD4" w:rsidRPr="005D5311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sa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ru-RU"/>
              </w:rPr>
              <w:t>12,6%</w:t>
            </w:r>
            <w:r w:rsidR="00E85AD4" w:rsidRPr="005D5311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. </w:t>
            </w:r>
          </w:p>
        </w:tc>
      </w:tr>
    </w:tbl>
    <w:p w:rsidR="00E85AD4" w:rsidRPr="0052611C" w:rsidRDefault="00FC7645" w:rsidP="004A08B4">
      <w:pPr>
        <w:tabs>
          <w:tab w:val="left" w:pos="-426"/>
          <w:tab w:val="left" w:pos="500"/>
          <w:tab w:val="left" w:pos="1134"/>
        </w:tabs>
        <w:ind w:hanging="142"/>
        <w:jc w:val="both"/>
        <w:outlineLvl w:val="0"/>
        <w:rPr>
          <w:rFonts w:ascii="Tahoma" w:hAnsi="Tahoma" w:cs="Tahoma"/>
          <w:b/>
          <w:sz w:val="28"/>
          <w:szCs w:val="28"/>
          <w:lang w:val="ru-RU"/>
        </w:rPr>
      </w:pPr>
      <w:r w:rsidRPr="0052611C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</w:p>
    <w:p w:rsidR="005E0301" w:rsidRPr="0052611C" w:rsidRDefault="00FC7645" w:rsidP="004A08B4">
      <w:pPr>
        <w:tabs>
          <w:tab w:val="left" w:pos="-426"/>
          <w:tab w:val="left" w:pos="500"/>
          <w:tab w:val="left" w:pos="1134"/>
        </w:tabs>
        <w:ind w:hanging="142"/>
        <w:jc w:val="both"/>
        <w:outlineLvl w:val="0"/>
        <w:rPr>
          <w:rFonts w:ascii="Tahoma" w:hAnsi="Tahoma" w:cs="Tahoma"/>
          <w:b/>
          <w:sz w:val="28"/>
          <w:szCs w:val="28"/>
          <w:lang w:val="ru-RU"/>
        </w:rPr>
      </w:pPr>
      <w:r w:rsidRPr="0052611C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541DAF">
        <w:rPr>
          <w:rFonts w:ascii="Tahoma" w:hAnsi="Tahoma" w:cs="Tahoma"/>
          <w:b/>
          <w:sz w:val="28"/>
          <w:szCs w:val="28"/>
          <w:lang w:val="sr-Cyrl-CS"/>
        </w:rPr>
        <w:t>Prosječn</w:t>
      </w:r>
      <w:r w:rsidR="00541DAF">
        <w:rPr>
          <w:rFonts w:ascii="Tahoma" w:hAnsi="Tahoma" w:cs="Tahoma"/>
          <w:b/>
          <w:sz w:val="28"/>
          <w:szCs w:val="28"/>
          <w:lang w:val="ru-RU"/>
        </w:rPr>
        <w:t>a</w:t>
      </w:r>
      <w:r w:rsidR="00C6075B" w:rsidRPr="005261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541DAF">
        <w:rPr>
          <w:rFonts w:ascii="Tahoma" w:hAnsi="Tahoma" w:cs="Tahoma"/>
          <w:b/>
          <w:sz w:val="28"/>
          <w:szCs w:val="28"/>
          <w:lang w:val="sr-Cyrl-CS"/>
        </w:rPr>
        <w:t>neto</w:t>
      </w:r>
      <w:r w:rsidR="00C6075B"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541DAF">
        <w:rPr>
          <w:rFonts w:ascii="Tahoma" w:hAnsi="Tahoma" w:cs="Tahoma"/>
          <w:b/>
          <w:sz w:val="28"/>
          <w:szCs w:val="28"/>
          <w:lang w:val="sr-Cyrl-CS"/>
        </w:rPr>
        <w:t>plata</w:t>
      </w:r>
      <w:r w:rsidR="00C6075B" w:rsidRPr="005261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541DAF">
        <w:rPr>
          <w:rFonts w:ascii="Tahoma" w:hAnsi="Tahoma" w:cs="Tahoma"/>
          <w:b/>
          <w:sz w:val="28"/>
          <w:szCs w:val="28"/>
          <w:lang w:val="ru-RU"/>
        </w:rPr>
        <w:t>u</w:t>
      </w:r>
      <w:r w:rsidR="00C6075B" w:rsidRPr="005261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541DAF">
        <w:rPr>
          <w:rFonts w:ascii="Tahoma" w:hAnsi="Tahoma" w:cs="Tahoma"/>
          <w:b/>
          <w:sz w:val="28"/>
          <w:szCs w:val="28"/>
          <w:lang w:val="sr-Cyrl-CS"/>
        </w:rPr>
        <w:t>junu</w:t>
      </w:r>
      <w:r w:rsidR="0032304A"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0668D4" w:rsidRPr="0052611C">
        <w:rPr>
          <w:rFonts w:ascii="Tahoma" w:hAnsi="Tahoma" w:cs="Tahoma"/>
          <w:b/>
          <w:sz w:val="28"/>
          <w:szCs w:val="28"/>
          <w:lang w:val="sr-Cyrl-CS"/>
        </w:rPr>
        <w:t>8</w:t>
      </w:r>
      <w:r w:rsidR="0032304A" w:rsidRPr="0052611C">
        <w:rPr>
          <w:rFonts w:ascii="Tahoma" w:hAnsi="Tahoma" w:cs="Tahoma"/>
          <w:b/>
          <w:sz w:val="28"/>
          <w:szCs w:val="28"/>
          <w:lang w:val="sr-Cyrl-BA"/>
        </w:rPr>
        <w:t>1</w:t>
      </w:r>
      <w:r w:rsidR="00D36059" w:rsidRPr="0052611C">
        <w:rPr>
          <w:rFonts w:ascii="Tahoma" w:hAnsi="Tahoma" w:cs="Tahoma"/>
          <w:b/>
          <w:sz w:val="28"/>
          <w:szCs w:val="28"/>
          <w:lang w:val="sr-Cyrl-BA"/>
        </w:rPr>
        <w:t>7</w:t>
      </w:r>
      <w:r w:rsidR="000668D4"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541DAF">
        <w:rPr>
          <w:rFonts w:ascii="Tahoma" w:hAnsi="Tahoma" w:cs="Tahoma"/>
          <w:b/>
          <w:sz w:val="28"/>
          <w:szCs w:val="28"/>
          <w:lang w:val="ru-RU"/>
        </w:rPr>
        <w:t>KM</w:t>
      </w:r>
    </w:p>
    <w:p w:rsidR="005E0301" w:rsidRPr="0052611C" w:rsidRDefault="00541DAF" w:rsidP="005E0301">
      <w:pPr>
        <w:tabs>
          <w:tab w:val="left" w:pos="4343"/>
        </w:tabs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Najviša</w:t>
      </w:r>
      <w:r w:rsidR="005E0301" w:rsidRPr="0052611C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prosječna</w:t>
      </w:r>
      <w:r w:rsidR="005E0301" w:rsidRPr="0052611C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neto</w:t>
      </w:r>
      <w:r w:rsidR="005E0301" w:rsidRPr="0052611C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plata</w:t>
      </w:r>
      <w:r w:rsidR="005E0301" w:rsidRPr="0052611C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5E0301" w:rsidRPr="0052611C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području</w:t>
      </w:r>
      <w:r w:rsidR="005E0301" w:rsidRPr="0052611C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Finansijsko</w:t>
      </w:r>
      <w:r w:rsidR="005E0301" w:rsidRPr="0052611C">
        <w:rPr>
          <w:rFonts w:ascii="Tahoma" w:hAnsi="Tahoma" w:cs="Tahoma"/>
          <w:i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posredovanje</w:t>
      </w:r>
      <w:r w:rsidR="00B61F72" w:rsidRPr="0052611C">
        <w:rPr>
          <w:rFonts w:ascii="Tahoma" w:hAnsi="Tahoma" w:cs="Tahoma"/>
          <w:sz w:val="24"/>
          <w:szCs w:val="24"/>
          <w:lang w:val="ru-RU"/>
        </w:rPr>
        <w:t xml:space="preserve"> </w:t>
      </w:r>
      <w:r w:rsidR="005E0301" w:rsidRPr="0052611C">
        <w:rPr>
          <w:rFonts w:ascii="Tahoma" w:hAnsi="Tahoma" w:cs="Tahoma"/>
          <w:sz w:val="24"/>
          <w:szCs w:val="24"/>
          <w:lang w:val="ru-RU"/>
        </w:rPr>
        <w:t xml:space="preserve">1 </w:t>
      </w:r>
      <w:r w:rsidR="0032304A" w:rsidRPr="0052611C">
        <w:rPr>
          <w:rFonts w:ascii="Tahoma" w:hAnsi="Tahoma" w:cs="Tahoma"/>
          <w:sz w:val="24"/>
          <w:szCs w:val="24"/>
          <w:lang w:val="sr-Cyrl-CS"/>
        </w:rPr>
        <w:t>2</w:t>
      </w:r>
      <w:r w:rsidR="00D36059" w:rsidRPr="0052611C">
        <w:rPr>
          <w:rFonts w:ascii="Tahoma" w:hAnsi="Tahoma" w:cs="Tahoma"/>
          <w:sz w:val="24"/>
          <w:szCs w:val="24"/>
          <w:lang w:val="sr-Cyrl-CS"/>
        </w:rPr>
        <w:t>47</w:t>
      </w:r>
      <w:r w:rsidR="00B61F72" w:rsidRPr="0052611C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KM</w:t>
      </w:r>
      <w:r w:rsidR="005E0301" w:rsidRPr="0052611C">
        <w:rPr>
          <w:rFonts w:ascii="Tahoma" w:hAnsi="Tahoma" w:cs="Tahoma"/>
          <w:sz w:val="24"/>
          <w:szCs w:val="24"/>
          <w:lang w:val="sr-Cyrl-CS"/>
        </w:rPr>
        <w:t xml:space="preserve">, </w:t>
      </w:r>
      <w:r>
        <w:rPr>
          <w:rFonts w:ascii="Tahoma" w:hAnsi="Tahoma" w:cs="Tahoma"/>
          <w:sz w:val="24"/>
          <w:szCs w:val="24"/>
          <w:lang w:val="sr-Cyrl-CS"/>
        </w:rPr>
        <w:t>najniža</w:t>
      </w:r>
      <w:r w:rsidR="005E0301" w:rsidRPr="0052611C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u</w:t>
      </w:r>
      <w:r w:rsidR="005E0301" w:rsidRPr="0052611C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području</w:t>
      </w:r>
      <w:r w:rsidR="005E0301" w:rsidRPr="0052611C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Ugostiteljstvo</w:t>
      </w:r>
      <w:r w:rsidR="00D36059" w:rsidRPr="0052611C">
        <w:rPr>
          <w:rFonts w:ascii="Tahoma" w:hAnsi="Tahoma" w:cs="Tahoma"/>
          <w:sz w:val="24"/>
          <w:szCs w:val="24"/>
          <w:lang w:val="sr-Cyrl-CS"/>
        </w:rPr>
        <w:t xml:space="preserve"> 547</w:t>
      </w:r>
      <w:r w:rsidR="0032304A" w:rsidRPr="0052611C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KM</w:t>
      </w:r>
    </w:p>
    <w:p w:rsidR="005E0301" w:rsidRPr="0052611C" w:rsidRDefault="005E0301" w:rsidP="005E0301">
      <w:pPr>
        <w:tabs>
          <w:tab w:val="left" w:pos="4343"/>
        </w:tabs>
        <w:rPr>
          <w:rFonts w:ascii="Tahoma" w:hAnsi="Tahoma" w:cs="Tahoma"/>
          <w:b/>
          <w:sz w:val="28"/>
          <w:szCs w:val="28"/>
          <w:lang w:val="ru-RU"/>
        </w:rPr>
      </w:pPr>
    </w:p>
    <w:p w:rsidR="0089681F" w:rsidRPr="0052611C" w:rsidRDefault="00541DAF" w:rsidP="005E0301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BA"/>
        </w:rPr>
        <w:t>P</w:t>
      </w:r>
      <w:r>
        <w:rPr>
          <w:rFonts w:ascii="Tahoma" w:hAnsi="Tahoma" w:cs="Tahoma"/>
          <w:b/>
          <w:sz w:val="18"/>
          <w:szCs w:val="18"/>
          <w:lang w:val="sr-Cyrl-CS"/>
        </w:rPr>
        <w:t>rosječna</w:t>
      </w:r>
      <w:r w:rsidR="005E0301" w:rsidRPr="0052611C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mjesečna</w:t>
      </w:r>
      <w:r w:rsidR="005E0301" w:rsidRPr="0052611C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neto</w:t>
      </w:r>
      <w:r w:rsidR="005E0301" w:rsidRPr="0052611C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plata</w:t>
      </w:r>
      <w:r w:rsidR="00FB64BA" w:rsidRPr="0052611C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FB64BA" w:rsidRPr="0052611C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52611C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B61F72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>201</w:t>
      </w:r>
      <w:r w:rsidR="00FB64BD" w:rsidRPr="0052611C">
        <w:rPr>
          <w:rFonts w:ascii="Tahoma" w:hAnsi="Tahoma" w:cs="Tahoma"/>
          <w:sz w:val="18"/>
          <w:szCs w:val="18"/>
          <w:lang w:val="sr-Cyrl-CS"/>
        </w:rPr>
        <w:t>1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>.</w:t>
      </w:r>
      <w:r w:rsidR="005E0301" w:rsidRPr="0052611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5E0301" w:rsidRPr="0052611C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32304A" w:rsidRPr="0052611C">
        <w:rPr>
          <w:rFonts w:ascii="Tahoma" w:hAnsi="Tahoma" w:cs="Tahoma"/>
          <w:b/>
          <w:sz w:val="18"/>
          <w:szCs w:val="18"/>
          <w:lang w:val="sr-Cyrl-CS"/>
        </w:rPr>
        <w:t>81</w:t>
      </w:r>
      <w:r w:rsidR="00D36059" w:rsidRPr="0052611C">
        <w:rPr>
          <w:rFonts w:ascii="Tahoma" w:hAnsi="Tahoma" w:cs="Tahoma"/>
          <w:b/>
          <w:sz w:val="18"/>
          <w:szCs w:val="18"/>
          <w:lang w:val="sr-Cyrl-CS"/>
        </w:rPr>
        <w:t>7</w:t>
      </w:r>
      <w:r w:rsidR="005E0301" w:rsidRPr="0052611C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KM</w:t>
      </w:r>
      <w:r w:rsidR="005E0301" w:rsidRPr="0052611C">
        <w:rPr>
          <w:rFonts w:ascii="Tahoma" w:hAnsi="Tahoma" w:cs="Tahoma"/>
          <w:sz w:val="18"/>
          <w:szCs w:val="18"/>
          <w:lang w:val="hr-HR"/>
        </w:rPr>
        <w:t>,</w:t>
      </w:r>
      <w:r w:rsidR="005E0301" w:rsidRPr="0052611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</w:t>
      </w:r>
      <w:r w:rsidR="005E0301" w:rsidRPr="0052611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</w:t>
      </w:r>
      <w:r>
        <w:rPr>
          <w:rFonts w:ascii="Tahoma" w:hAnsi="Tahoma" w:cs="Tahoma"/>
          <w:sz w:val="18"/>
          <w:szCs w:val="18"/>
          <w:lang w:val="sr-Cyrl-CS"/>
        </w:rPr>
        <w:t>rosječna</w:t>
      </w:r>
      <w:r w:rsidR="005E0301" w:rsidRPr="0052611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mjesečna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5E0301" w:rsidRPr="0052611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B64BA" w:rsidRPr="0052611C">
        <w:rPr>
          <w:rFonts w:ascii="Tahoma" w:hAnsi="Tahoma" w:cs="Tahoma"/>
          <w:sz w:val="18"/>
          <w:szCs w:val="18"/>
          <w:lang w:val="ru-RU"/>
        </w:rPr>
        <w:t xml:space="preserve"> 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1 </w:t>
      </w:r>
      <w:r w:rsidR="00A727AE" w:rsidRPr="0052611C">
        <w:rPr>
          <w:rFonts w:ascii="Tahoma" w:hAnsi="Tahoma" w:cs="Tahoma"/>
          <w:sz w:val="18"/>
          <w:szCs w:val="18"/>
          <w:lang w:val="sr-Cyrl-CS"/>
        </w:rPr>
        <w:t>3</w:t>
      </w:r>
      <w:r w:rsidR="0032304A" w:rsidRPr="0052611C">
        <w:rPr>
          <w:rFonts w:ascii="Tahoma" w:hAnsi="Tahoma" w:cs="Tahoma"/>
          <w:sz w:val="18"/>
          <w:szCs w:val="18"/>
          <w:lang w:val="sr-Cyrl-CS"/>
        </w:rPr>
        <w:t>4</w:t>
      </w:r>
      <w:r w:rsidR="00D36059" w:rsidRPr="0052611C">
        <w:rPr>
          <w:rFonts w:ascii="Tahoma" w:hAnsi="Tahoma" w:cs="Tahoma"/>
          <w:sz w:val="18"/>
          <w:szCs w:val="18"/>
          <w:lang w:val="sr-Cyrl-CS"/>
        </w:rPr>
        <w:t>7</w:t>
      </w:r>
      <w:r w:rsidR="00BE3F1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BE3F1D" w:rsidRPr="0052611C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C81476" w:rsidRPr="0052611C" w:rsidRDefault="00C81476" w:rsidP="005E0301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A727AE" w:rsidRPr="0052611C" w:rsidRDefault="00541DAF" w:rsidP="005E0301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A727AE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A727AE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>-</w:t>
      </w:r>
      <w:r>
        <w:rPr>
          <w:rFonts w:ascii="Tahoma" w:hAnsi="Tahoma" w:cs="Tahoma"/>
          <w:sz w:val="18"/>
          <w:szCs w:val="18"/>
          <w:lang w:val="sr-Cyrl-BA"/>
        </w:rPr>
        <w:t>jun</w:t>
      </w:r>
      <w:r w:rsidR="00A727AE" w:rsidRPr="0052611C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neto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924AF0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iznosila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32304A" w:rsidRPr="0052611C">
        <w:rPr>
          <w:rFonts w:ascii="Tahoma" w:hAnsi="Tahoma" w:cs="Tahoma"/>
          <w:sz w:val="18"/>
          <w:szCs w:val="18"/>
          <w:lang w:val="sr-Cyrl-BA"/>
        </w:rPr>
        <w:t>80</w:t>
      </w:r>
      <w:r w:rsidR="00D36059" w:rsidRPr="0052611C">
        <w:rPr>
          <w:rFonts w:ascii="Tahoma" w:hAnsi="Tahoma" w:cs="Tahoma"/>
          <w:sz w:val="18"/>
          <w:szCs w:val="18"/>
          <w:lang w:val="sr-Cyrl-BA"/>
        </w:rPr>
        <w:t>8</w:t>
      </w:r>
      <w:r w:rsidR="00A727AE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A727AE" w:rsidRPr="0052611C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A727AE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A727AE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bruto</w:t>
      </w:r>
      <w:r w:rsidR="00A727AE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A727AE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>1</w:t>
      </w:r>
      <w:r w:rsidR="00B61F72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32304A" w:rsidRPr="0052611C">
        <w:rPr>
          <w:rFonts w:ascii="Tahoma" w:hAnsi="Tahoma" w:cs="Tahoma"/>
          <w:sz w:val="18"/>
          <w:szCs w:val="18"/>
          <w:lang w:val="sr-Cyrl-BA"/>
        </w:rPr>
        <w:t>3</w:t>
      </w:r>
      <w:r w:rsidR="00D36059" w:rsidRPr="0052611C">
        <w:rPr>
          <w:rFonts w:ascii="Tahoma" w:hAnsi="Tahoma" w:cs="Tahoma"/>
          <w:sz w:val="18"/>
          <w:szCs w:val="18"/>
          <w:lang w:val="sr-Cyrl-BA"/>
        </w:rPr>
        <w:t>16</w:t>
      </w:r>
      <w:r w:rsidR="00A727AE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A727AE" w:rsidRPr="0052611C">
        <w:rPr>
          <w:rFonts w:ascii="Tahoma" w:hAnsi="Tahoma" w:cs="Tahoma"/>
          <w:sz w:val="18"/>
          <w:szCs w:val="18"/>
          <w:lang w:val="sr-Cyrl-BA"/>
        </w:rPr>
        <w:t xml:space="preserve">. 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A727AE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A727AE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A727AE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A727AE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prošle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D3193B" w:rsidRPr="0052611C">
        <w:rPr>
          <w:rFonts w:ascii="Tahoma" w:hAnsi="Tahoma" w:cs="Tahoma"/>
          <w:sz w:val="18"/>
          <w:szCs w:val="18"/>
          <w:lang w:val="sr-Cyrl-BA"/>
        </w:rPr>
        <w:t>,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neto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A727AE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porasla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nominalno</w:t>
      </w:r>
      <w:r w:rsidR="0032304A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2304A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D36059" w:rsidRPr="0052611C">
        <w:rPr>
          <w:rFonts w:ascii="Tahoma" w:hAnsi="Tahoma" w:cs="Tahoma"/>
          <w:sz w:val="18"/>
          <w:szCs w:val="18"/>
          <w:lang w:val="sr-Cyrl-BA"/>
        </w:rPr>
        <w:t>3,7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sr-Cyrl-BA"/>
        </w:rPr>
        <w:t>ali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32304A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2304A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pad</w:t>
      </w:r>
      <w:r w:rsidR="0032304A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2304A" w:rsidRPr="0052611C">
        <w:rPr>
          <w:rFonts w:ascii="Tahoma" w:hAnsi="Tahoma" w:cs="Tahoma"/>
          <w:sz w:val="18"/>
          <w:szCs w:val="18"/>
          <w:lang w:val="sr-Cyrl-BA"/>
        </w:rPr>
        <w:t xml:space="preserve"> 0,2</w:t>
      </w:r>
      <w:r w:rsidR="000668D4" w:rsidRPr="0052611C">
        <w:rPr>
          <w:rFonts w:ascii="Tahoma" w:hAnsi="Tahoma" w:cs="Tahoma"/>
          <w:sz w:val="18"/>
          <w:szCs w:val="18"/>
          <w:lang w:val="sr-Cyrl-BA"/>
        </w:rPr>
        <w:t>%</w:t>
      </w:r>
      <w:r w:rsidR="000B62D8" w:rsidRPr="0052611C">
        <w:rPr>
          <w:rFonts w:ascii="Tahoma" w:hAnsi="Tahoma" w:cs="Tahoma"/>
          <w:sz w:val="18"/>
          <w:szCs w:val="18"/>
          <w:lang w:val="sr-Cyrl-BA"/>
        </w:rPr>
        <w:t>.</w:t>
      </w:r>
    </w:p>
    <w:p w:rsidR="00EA0231" w:rsidRPr="0052611C" w:rsidRDefault="00EA0231" w:rsidP="005E0301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BE3F1D" w:rsidRPr="0052611C" w:rsidRDefault="00541DAF" w:rsidP="005E0301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BE3F1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BE3F1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BE3F1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0B62D8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B62D8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D36059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E412B" w:rsidRPr="0052611C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E412B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668D4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0668D4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0668D4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</w:t>
      </w:r>
      <w:r w:rsidR="009F6F37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iste</w:t>
      </w:r>
      <w:r w:rsidR="000B62D8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0B62D8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C6075B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6075B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32304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2304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36059" w:rsidRPr="0052611C">
        <w:rPr>
          <w:rFonts w:ascii="Tahoma" w:hAnsi="Tahoma" w:cs="Tahoma"/>
          <w:sz w:val="18"/>
          <w:szCs w:val="18"/>
          <w:lang w:val="sr-Cyrl-CS"/>
        </w:rPr>
        <w:t>0,2</w:t>
      </w:r>
      <w:r w:rsidR="000B62D8" w:rsidRPr="0052611C">
        <w:rPr>
          <w:rFonts w:ascii="Tahoma" w:hAnsi="Tahoma" w:cs="Tahoma"/>
          <w:sz w:val="18"/>
          <w:szCs w:val="18"/>
          <w:lang w:val="sr-Cyrl-CS"/>
        </w:rPr>
        <w:t>%</w:t>
      </w:r>
      <w:r w:rsidR="00B72FE4" w:rsidRPr="0052611C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9F6F37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9F6F37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9F6F37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D36059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36059" w:rsidRPr="0052611C">
        <w:rPr>
          <w:rFonts w:ascii="Tahoma" w:hAnsi="Tahoma" w:cs="Tahoma"/>
          <w:sz w:val="18"/>
          <w:szCs w:val="18"/>
          <w:lang w:val="sr-Cyrl-CS"/>
        </w:rPr>
        <w:t xml:space="preserve"> 0,9</w:t>
      </w:r>
      <w:r w:rsidR="000B62D8" w:rsidRPr="0052611C">
        <w:rPr>
          <w:rFonts w:ascii="Tahoma" w:hAnsi="Tahoma" w:cs="Tahoma"/>
          <w:sz w:val="18"/>
          <w:szCs w:val="18"/>
          <w:lang w:val="sr-Cyrl-CS"/>
        </w:rPr>
        <w:t xml:space="preserve">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B62D8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0B62D8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0B62D8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prosječnu</w:t>
      </w:r>
      <w:r w:rsidR="00C36EC5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C36EC5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platu</w:t>
      </w:r>
      <w:r w:rsidR="00C36EC5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36EC5" w:rsidRPr="0052611C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C36EC5" w:rsidRPr="0052611C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C36EC5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C36EC5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C36EC5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36EC5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D36059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F6757" w:rsidRPr="0052611C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F6757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36EC5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D36059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36059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C36EC5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2304A" w:rsidRPr="0052611C">
        <w:rPr>
          <w:rFonts w:ascii="Tahoma" w:hAnsi="Tahoma" w:cs="Tahoma"/>
          <w:sz w:val="18"/>
          <w:szCs w:val="18"/>
          <w:lang w:val="sr-Cyrl-CS"/>
        </w:rPr>
        <w:t xml:space="preserve"> 4,</w:t>
      </w:r>
      <w:r w:rsidR="00D36059" w:rsidRPr="0052611C">
        <w:rPr>
          <w:rFonts w:ascii="Tahoma" w:hAnsi="Tahoma" w:cs="Tahoma"/>
          <w:sz w:val="18"/>
          <w:szCs w:val="18"/>
          <w:lang w:val="sr-Cyrl-CS"/>
        </w:rPr>
        <w:t>3</w:t>
      </w:r>
      <w:r w:rsidR="0059781F" w:rsidRPr="0052611C">
        <w:rPr>
          <w:rFonts w:ascii="Tahoma" w:hAnsi="Tahoma" w:cs="Tahoma"/>
          <w:sz w:val="18"/>
          <w:szCs w:val="18"/>
          <w:lang w:val="sr-Cyrl-CS"/>
        </w:rPr>
        <w:t>%</w:t>
      </w:r>
      <w:r w:rsidR="00D36059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36059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32304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2304A" w:rsidRPr="0052611C">
        <w:rPr>
          <w:rFonts w:ascii="Tahoma" w:hAnsi="Tahoma" w:cs="Tahoma"/>
          <w:sz w:val="18"/>
          <w:szCs w:val="18"/>
          <w:lang w:val="sr-Cyrl-CS"/>
        </w:rPr>
        <w:t xml:space="preserve"> 0</w:t>
      </w:r>
      <w:r w:rsidR="00C36EC5" w:rsidRPr="0052611C">
        <w:rPr>
          <w:rFonts w:ascii="Tahoma" w:hAnsi="Tahoma" w:cs="Tahoma"/>
          <w:sz w:val="18"/>
          <w:szCs w:val="18"/>
          <w:lang w:val="sr-Cyrl-CS"/>
        </w:rPr>
        <w:t>,</w:t>
      </w:r>
      <w:r w:rsidR="00D36059" w:rsidRPr="0052611C">
        <w:rPr>
          <w:rFonts w:ascii="Tahoma" w:hAnsi="Tahoma" w:cs="Tahoma"/>
          <w:sz w:val="18"/>
          <w:szCs w:val="18"/>
          <w:lang w:val="sr-Cyrl-CS"/>
        </w:rPr>
        <w:t>7</w:t>
      </w:r>
      <w:r w:rsidR="00C36EC5" w:rsidRPr="0052611C">
        <w:rPr>
          <w:rFonts w:ascii="Tahoma" w:hAnsi="Tahoma" w:cs="Tahoma"/>
          <w:sz w:val="18"/>
          <w:szCs w:val="18"/>
          <w:lang w:val="sr-Cyrl-CS"/>
        </w:rPr>
        <w:t xml:space="preserve">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14AA6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59781F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14AA6" w:rsidRPr="0052611C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14AA6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14AA6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114AA6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14AA6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114AA6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</w:t>
      </w:r>
      <w:r w:rsidR="00114AA6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114AA6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2304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32304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32304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32304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9F6F37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59781F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9781F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9F6F37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9781F" w:rsidRPr="0052611C">
        <w:rPr>
          <w:rFonts w:ascii="Tahoma" w:hAnsi="Tahoma" w:cs="Tahoma"/>
          <w:sz w:val="18"/>
          <w:szCs w:val="18"/>
          <w:lang w:val="sr-Cyrl-CS"/>
        </w:rPr>
        <w:t>3</w:t>
      </w:r>
      <w:r w:rsidR="009F6F37" w:rsidRPr="0052611C">
        <w:rPr>
          <w:rFonts w:ascii="Tahoma" w:hAnsi="Tahoma" w:cs="Tahoma"/>
          <w:sz w:val="18"/>
          <w:szCs w:val="18"/>
          <w:lang w:val="sr-Cyrl-CS"/>
        </w:rPr>
        <w:t>,</w:t>
      </w:r>
      <w:r w:rsidR="0059781F" w:rsidRPr="0052611C">
        <w:rPr>
          <w:rFonts w:ascii="Tahoma" w:hAnsi="Tahoma" w:cs="Tahoma"/>
          <w:sz w:val="18"/>
          <w:szCs w:val="18"/>
          <w:lang w:val="sr-Cyrl-CS"/>
        </w:rPr>
        <w:t>6%,</w:t>
      </w:r>
      <w:r w:rsidR="0032304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32304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351BFE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59781F" w:rsidRPr="0052611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9781F" w:rsidRPr="0052611C">
        <w:rPr>
          <w:rFonts w:ascii="Tahoma" w:hAnsi="Tahoma" w:cs="Tahoma"/>
          <w:sz w:val="18"/>
          <w:szCs w:val="18"/>
          <w:lang w:val="sr-Cyrl-CS"/>
        </w:rPr>
        <w:t xml:space="preserve"> 0,4</w:t>
      </w:r>
      <w:r w:rsidR="00114AA6" w:rsidRPr="0052611C">
        <w:rPr>
          <w:rFonts w:ascii="Tahoma" w:hAnsi="Tahoma" w:cs="Tahoma"/>
          <w:sz w:val="18"/>
          <w:szCs w:val="18"/>
          <w:lang w:val="sr-Cyrl-CS"/>
        </w:rPr>
        <w:t>%.</w:t>
      </w:r>
    </w:p>
    <w:p w:rsidR="000B62D8" w:rsidRPr="0052611C" w:rsidRDefault="000B62D8" w:rsidP="005E0301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52611C" w:rsidRDefault="00541DAF" w:rsidP="005E0301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Najviša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C36EC5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36EC5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59781F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E3F1D" w:rsidRPr="0052611C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posmatrano</w:t>
      </w:r>
      <w:r w:rsidR="00FB64B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FB64B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FB64B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djelatnosti</w:t>
      </w:r>
      <w:r w:rsidR="00FB64BA" w:rsidRPr="0052611C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FB64B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B64B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B64B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FB64B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5E0301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5E0301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1 </w:t>
      </w:r>
      <w:r w:rsidR="00351BFE" w:rsidRPr="0052611C">
        <w:rPr>
          <w:rFonts w:ascii="Tahoma" w:hAnsi="Tahoma" w:cs="Tahoma"/>
          <w:sz w:val="18"/>
          <w:szCs w:val="18"/>
          <w:lang w:val="sr-Cyrl-CS"/>
        </w:rPr>
        <w:t>2</w:t>
      </w:r>
      <w:r w:rsidR="0059781F" w:rsidRPr="0052611C">
        <w:rPr>
          <w:rFonts w:ascii="Tahoma" w:hAnsi="Tahoma" w:cs="Tahoma"/>
          <w:sz w:val="18"/>
          <w:szCs w:val="18"/>
          <w:lang w:val="sr-Cyrl-CS"/>
        </w:rPr>
        <w:t>47</w:t>
      </w:r>
      <w:r w:rsidR="00C03F53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najniža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Ugostiteljstvo</w:t>
      </w:r>
      <w:r w:rsidR="00351BFE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>5</w:t>
      </w:r>
      <w:r w:rsidR="0059781F" w:rsidRPr="0052611C">
        <w:rPr>
          <w:rFonts w:ascii="Tahoma" w:hAnsi="Tahoma" w:cs="Tahoma"/>
          <w:sz w:val="18"/>
          <w:szCs w:val="18"/>
          <w:lang w:val="sr-Cyrl-CS"/>
        </w:rPr>
        <w:t>47</w:t>
      </w:r>
      <w:r w:rsidR="00C36EC5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>.</w:t>
      </w:r>
    </w:p>
    <w:p w:rsidR="0089681F" w:rsidRPr="0052611C" w:rsidRDefault="0089681F" w:rsidP="005E0301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E0301" w:rsidRPr="0052611C" w:rsidRDefault="00541DAF" w:rsidP="005E0301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ru-RU"/>
        </w:rPr>
        <w:t>U</w:t>
      </w:r>
      <w:r w:rsidR="00BE3F1D" w:rsidRPr="0052611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BE3F1D" w:rsidRPr="0052611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43513A" w:rsidRPr="0052611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</w:t>
      </w:r>
      <w:r w:rsidR="00F4528D" w:rsidRPr="0052611C">
        <w:rPr>
          <w:rFonts w:ascii="Tahoma" w:hAnsi="Tahoma" w:cs="Tahoma"/>
          <w:sz w:val="18"/>
          <w:szCs w:val="18"/>
          <w:lang w:val="ru-RU"/>
        </w:rPr>
        <w:t xml:space="preserve"> </w:t>
      </w:r>
      <w:r w:rsidR="00C36EC5" w:rsidRPr="0052611C">
        <w:rPr>
          <w:rFonts w:ascii="Tahoma" w:hAnsi="Tahoma" w:cs="Tahoma"/>
          <w:sz w:val="18"/>
          <w:szCs w:val="18"/>
          <w:lang w:val="ru-RU"/>
        </w:rPr>
        <w:t>2011</w:t>
      </w:r>
      <w:r w:rsidR="00C6075B" w:rsidRPr="0052611C">
        <w:rPr>
          <w:rFonts w:ascii="Tahoma" w:hAnsi="Tahoma" w:cs="Tahoma"/>
          <w:sz w:val="18"/>
          <w:szCs w:val="18"/>
          <w:lang w:val="ru-RU"/>
        </w:rPr>
        <w:t>.</w:t>
      </w:r>
      <w:r w:rsidR="003E412B" w:rsidRPr="0052611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E412B" w:rsidRPr="0052611C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3E412B" w:rsidRPr="0052611C">
        <w:rPr>
          <w:rFonts w:ascii="Tahoma" w:hAnsi="Tahoma" w:cs="Tahoma"/>
          <w:sz w:val="18"/>
          <w:szCs w:val="18"/>
          <w:lang w:val="ru-RU"/>
        </w:rPr>
        <w:t xml:space="preserve"> </w:t>
      </w:r>
      <w:r w:rsidR="003C4748" w:rsidRPr="0052611C">
        <w:rPr>
          <w:rFonts w:ascii="Tahoma" w:hAnsi="Tahoma" w:cs="Tahoma"/>
          <w:sz w:val="18"/>
          <w:szCs w:val="18"/>
          <w:lang w:val="ru-RU"/>
        </w:rPr>
        <w:t>2011.</w:t>
      </w:r>
      <w:r w:rsidR="00C36EC5" w:rsidRPr="0052611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E412B" w:rsidRPr="0052611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ajveći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nominalni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BE3F1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plate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5E0301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3E412B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E3F1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5E0301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Ribarstvo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351BFE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>9</w:t>
      </w:r>
      <w:r w:rsidR="0043513A" w:rsidRPr="0052611C">
        <w:rPr>
          <w:rFonts w:ascii="Tahoma" w:hAnsi="Tahoma" w:cs="Tahoma"/>
          <w:i/>
          <w:sz w:val="18"/>
          <w:szCs w:val="18"/>
          <w:lang w:val="sr-Cyrl-CS"/>
        </w:rPr>
        <w:t>,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>0</w:t>
      </w:r>
      <w:r w:rsidR="008F6757" w:rsidRPr="0052611C">
        <w:rPr>
          <w:rFonts w:ascii="Tahoma" w:hAnsi="Tahoma" w:cs="Tahoma"/>
          <w:i/>
          <w:sz w:val="18"/>
          <w:szCs w:val="18"/>
          <w:lang w:val="sr-Cyrl-CS"/>
        </w:rPr>
        <w:t>%</w:t>
      </w:r>
      <w:r w:rsidR="00CE200B" w:rsidRPr="0052611C">
        <w:rPr>
          <w:rFonts w:ascii="Tahoma" w:hAnsi="Tahoma" w:cs="Tahoma"/>
          <w:i/>
          <w:sz w:val="18"/>
          <w:szCs w:val="18"/>
          <w:lang w:val="sr-Cyrl-CS"/>
        </w:rPr>
        <w:t>,</w:t>
      </w:r>
      <w:r w:rsidR="008F6757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2,8</w:t>
      </w:r>
      <w:r w:rsidR="008F6757" w:rsidRPr="0052611C">
        <w:rPr>
          <w:rFonts w:ascii="Tahoma" w:hAnsi="Tahoma" w:cs="Tahoma"/>
          <w:i/>
          <w:sz w:val="18"/>
          <w:szCs w:val="18"/>
          <w:lang w:val="sr-Cyrl-CS"/>
        </w:rPr>
        <w:t>%</w:t>
      </w:r>
      <w:r w:rsidR="00CE200B" w:rsidRPr="0052611C">
        <w:rPr>
          <w:rFonts w:ascii="Tahoma" w:hAnsi="Tahoma" w:cs="Tahoma"/>
          <w:i/>
          <w:sz w:val="18"/>
          <w:szCs w:val="18"/>
          <w:lang w:val="sr-Cyrl-CS"/>
        </w:rPr>
        <w:t>,</w:t>
      </w:r>
      <w:r w:rsidR="008F6757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1,8%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Poslovanje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nekretninama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iznajmljivanje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poslovne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lastRenderedPageBreak/>
        <w:t>djelatnosti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1,7%,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niža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Saobraćaj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skladištenje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komunikacije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1,7%, </w:t>
      </w:r>
      <w:r>
        <w:rPr>
          <w:rFonts w:ascii="Tahoma" w:hAnsi="Tahoma" w:cs="Tahoma"/>
          <w:sz w:val="18"/>
          <w:szCs w:val="18"/>
          <w:lang w:val="sr-Cyrl-CS"/>
        </w:rPr>
        <w:t>Ugostiteljstvo</w:t>
      </w:r>
      <w:r w:rsidR="008F6757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76086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>1,6</w:t>
      </w:r>
      <w:r w:rsidR="008F6757" w:rsidRPr="0052611C">
        <w:rPr>
          <w:rFonts w:ascii="Tahoma" w:hAnsi="Tahoma" w:cs="Tahoma"/>
          <w:sz w:val="18"/>
          <w:szCs w:val="18"/>
          <w:lang w:val="sr-Cyrl-CS"/>
        </w:rPr>
        <w:t>%</w:t>
      </w:r>
      <w:r w:rsidR="0076086A" w:rsidRPr="0052611C">
        <w:rPr>
          <w:rFonts w:ascii="Tahoma" w:hAnsi="Tahoma" w:cs="Tahoma"/>
          <w:sz w:val="18"/>
          <w:szCs w:val="18"/>
          <w:lang w:val="sr-Cyrl-CS"/>
        </w:rPr>
        <w:t>,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Proizvodnja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snabdijevanje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električnom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energijom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gasom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vodom</w:t>
      </w:r>
      <w:r w:rsidR="0076086A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0,8%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F6757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Građevinarstvo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4528D" w:rsidRPr="0052611C">
        <w:rPr>
          <w:rFonts w:ascii="Tahoma" w:hAnsi="Tahoma" w:cs="Tahoma"/>
          <w:sz w:val="18"/>
          <w:szCs w:val="18"/>
          <w:lang w:val="sr-Cyrl-CS"/>
        </w:rPr>
        <w:t xml:space="preserve"> 0,1%</w:t>
      </w:r>
      <w:r w:rsidR="00F4528D" w:rsidRPr="0052611C">
        <w:rPr>
          <w:rFonts w:ascii="Tahoma" w:hAnsi="Tahoma" w:cs="Tahoma"/>
          <w:i/>
          <w:sz w:val="18"/>
          <w:szCs w:val="18"/>
          <w:lang w:val="sr-Cyrl-CS"/>
        </w:rPr>
        <w:t>.</w:t>
      </w:r>
    </w:p>
    <w:p w:rsidR="0076086A" w:rsidRPr="0052611C" w:rsidRDefault="0076086A" w:rsidP="005E030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60B18" w:rsidRPr="0052611C" w:rsidRDefault="00460B18" w:rsidP="005E030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65FA3" w:rsidRPr="0052611C" w:rsidRDefault="00565FA3" w:rsidP="005E0301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52611C" w:rsidRDefault="00565FA3" w:rsidP="005E0301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52611C" w:rsidRDefault="00954CF1" w:rsidP="005E0301">
      <w:pPr>
        <w:jc w:val="both"/>
        <w:rPr>
          <w:rFonts w:ascii="Tahoma" w:hAnsi="Tahoma" w:cs="Tahoma"/>
          <w:sz w:val="18"/>
          <w:szCs w:val="18"/>
          <w:lang w:val="sr-Latn-CS"/>
        </w:rPr>
      </w:pPr>
      <w:r w:rsidRPr="00954CF1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34.25pt;margin-top:5.15pt;width:41.05pt;height:26.5pt;z-index:251659264;mso-width-relative:margin;mso-height-relative:margin" stroked="f">
            <v:textbox style="mso-next-textbox:#_x0000_s1063">
              <w:txbxContent>
                <w:p w:rsidR="00F4528D" w:rsidRPr="0078288A" w:rsidRDefault="00F4528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KM</w:t>
                  </w:r>
                </w:p>
              </w:txbxContent>
            </v:textbox>
          </v:shape>
        </w:pict>
      </w:r>
    </w:p>
    <w:p w:rsidR="008406F4" w:rsidRPr="0052611C" w:rsidRDefault="008406F4" w:rsidP="005E030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F1FE7" w:rsidRPr="0052611C" w:rsidRDefault="00954CF1" w:rsidP="00AF1FE7">
      <w:pPr>
        <w:jc w:val="center"/>
        <w:rPr>
          <w:rFonts w:ascii="Tahoma" w:hAnsi="Tahoma" w:cs="Tahoma"/>
          <w:sz w:val="18"/>
          <w:szCs w:val="18"/>
        </w:rPr>
      </w:pPr>
      <w:r w:rsidRPr="00954CF1">
        <w:rPr>
          <w:rFonts w:ascii="Tahoma" w:hAnsi="Tahoma" w:cs="Tahoma"/>
          <w:noProof/>
          <w:sz w:val="16"/>
          <w:szCs w:val="16"/>
          <w:lang w:val="sr-Cyrl-BA" w:eastAsia="zh-TW"/>
        </w:rPr>
        <w:pict>
          <v:shape id="_x0000_s1068" type="#_x0000_t202" style="position:absolute;left:0;text-align:left;margin-left:129.05pt;margin-top:169.8pt;width:38.45pt;height:18.8pt;z-index:251660288;mso-height-percent:200;mso-height-percent:200;mso-width-relative:margin;mso-height-relative:margin" strokecolor="white">
            <v:textbox style="mso-fit-shape-to-text:t">
              <w:txbxContent>
                <w:p w:rsidR="00F4528D" w:rsidRPr="00A56A4A" w:rsidRDefault="00F452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56A4A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>2010.</w:t>
                  </w:r>
                </w:p>
              </w:txbxContent>
            </v:textbox>
          </v:shape>
        </w:pict>
      </w:r>
      <w:r w:rsidRPr="00954CF1">
        <w:rPr>
          <w:rFonts w:ascii="Tahoma" w:hAnsi="Tahoma" w:cs="Tahoma"/>
          <w:b/>
          <w:noProof/>
        </w:rPr>
        <w:pict>
          <v:shape id="_x0000_s1069" type="#_x0000_t202" style="position:absolute;left:0;text-align:left;margin-left:370.75pt;margin-top:170.4pt;width:38.45pt;height:18.8pt;z-index:251661312;mso-height-percent:200;mso-height-percent:200;mso-width-relative:margin;mso-height-relative:margin" strokecolor="white">
            <v:textbox style="mso-fit-shape-to-text:t">
              <w:txbxContent>
                <w:p w:rsidR="00F4528D" w:rsidRPr="00A56A4A" w:rsidRDefault="00F4528D" w:rsidP="00A56A4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56A4A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>1</w:t>
                  </w:r>
                  <w:r w:rsidRPr="00A56A4A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3802FC" w:rsidRPr="0052611C">
        <w:rPr>
          <w:rFonts w:ascii="Tahoma" w:hAnsi="Tahoma" w:cs="Tahoma"/>
          <w:noProof/>
          <w:sz w:val="16"/>
        </w:rPr>
        <w:drawing>
          <wp:inline distT="0" distB="0" distL="0" distR="0">
            <wp:extent cx="5537835" cy="265557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0301" w:rsidRPr="0052611C" w:rsidRDefault="00541DAF" w:rsidP="005E0301">
      <w:pPr>
        <w:ind w:left="-142"/>
        <w:jc w:val="center"/>
        <w:outlineLvl w:val="0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sr-Cyrl-BA"/>
        </w:rPr>
        <w:t>Grafikon</w:t>
      </w:r>
      <w:r w:rsidR="000328B8" w:rsidRPr="0052611C">
        <w:rPr>
          <w:rFonts w:ascii="Tahoma" w:hAnsi="Tahoma" w:cs="Tahoma"/>
          <w:sz w:val="16"/>
          <w:szCs w:val="16"/>
          <w:lang w:val="sr-Cyrl-BA"/>
        </w:rPr>
        <w:t xml:space="preserve"> </w:t>
      </w:r>
      <w:r w:rsidR="000328B8" w:rsidRPr="0052611C">
        <w:rPr>
          <w:rFonts w:ascii="Tahoma" w:hAnsi="Tahoma" w:cs="Tahoma"/>
          <w:sz w:val="16"/>
          <w:szCs w:val="16"/>
        </w:rPr>
        <w:t>1</w:t>
      </w:r>
      <w:r w:rsidR="005E0301" w:rsidRPr="0052611C">
        <w:rPr>
          <w:rFonts w:ascii="Tahoma" w:hAnsi="Tahoma" w:cs="Tahoma"/>
          <w:sz w:val="16"/>
          <w:szCs w:val="16"/>
          <w:lang w:val="ru-RU"/>
        </w:rPr>
        <w:t>.</w:t>
      </w:r>
      <w:r w:rsidR="005E0301" w:rsidRPr="0052611C">
        <w:rPr>
          <w:rFonts w:ascii="Tahoma" w:hAnsi="Tahoma" w:cs="Tahoma"/>
          <w:sz w:val="16"/>
          <w:szCs w:val="16"/>
          <w:lang w:val="sr-Cyrl-BA"/>
        </w:rPr>
        <w:t xml:space="preserve"> </w:t>
      </w:r>
      <w:r>
        <w:rPr>
          <w:rFonts w:ascii="Tahoma" w:hAnsi="Tahoma" w:cs="Tahoma"/>
          <w:sz w:val="16"/>
          <w:lang w:val="sr-Cyrl-CS"/>
        </w:rPr>
        <w:t>P</w:t>
      </w:r>
      <w:r>
        <w:rPr>
          <w:rFonts w:ascii="Tahoma" w:hAnsi="Tahoma" w:cs="Tahoma"/>
          <w:sz w:val="16"/>
          <w:lang w:val="ru-RU"/>
        </w:rPr>
        <w:t>rosječn</w:t>
      </w:r>
      <w:r w:rsidR="005E0301" w:rsidRPr="0052611C">
        <w:rPr>
          <w:rFonts w:ascii="Tahoma" w:hAnsi="Tahoma" w:cs="Tahoma"/>
          <w:sz w:val="16"/>
        </w:rPr>
        <w:t>e</w:t>
      </w:r>
      <w:r w:rsidR="005E0301" w:rsidRPr="0052611C">
        <w:rPr>
          <w:rFonts w:ascii="Tahoma" w:hAnsi="Tahoma" w:cs="Tahoma"/>
          <w:sz w:val="16"/>
          <w:lang w:val="ru-RU"/>
        </w:rPr>
        <w:t xml:space="preserve"> </w:t>
      </w:r>
      <w:r>
        <w:rPr>
          <w:rFonts w:ascii="Tahoma" w:hAnsi="Tahoma" w:cs="Tahoma"/>
          <w:sz w:val="16"/>
          <w:lang w:val="ru-RU"/>
        </w:rPr>
        <w:t>neto</w:t>
      </w:r>
      <w:r w:rsidR="005E0301" w:rsidRPr="0052611C">
        <w:rPr>
          <w:rFonts w:ascii="Tahoma" w:hAnsi="Tahoma" w:cs="Tahoma"/>
          <w:sz w:val="16"/>
          <w:lang w:val="ru-RU"/>
        </w:rPr>
        <w:t xml:space="preserve"> </w:t>
      </w:r>
      <w:r>
        <w:rPr>
          <w:rFonts w:ascii="Tahoma" w:hAnsi="Tahoma" w:cs="Tahoma"/>
          <w:sz w:val="16"/>
          <w:lang w:val="ru-RU"/>
        </w:rPr>
        <w:t>plat</w:t>
      </w:r>
      <w:r w:rsidR="005E0301" w:rsidRPr="0052611C">
        <w:rPr>
          <w:rFonts w:ascii="Tahoma" w:hAnsi="Tahoma" w:cs="Tahoma"/>
          <w:sz w:val="16"/>
        </w:rPr>
        <w:t>e</w:t>
      </w:r>
      <w:r w:rsidR="005E0301" w:rsidRPr="0052611C">
        <w:rPr>
          <w:rFonts w:ascii="Tahoma" w:hAnsi="Tahoma" w:cs="Tahoma"/>
          <w:sz w:val="16"/>
          <w:lang w:val="ru-RU"/>
        </w:rPr>
        <w:t xml:space="preserve"> </w:t>
      </w:r>
      <w:r>
        <w:rPr>
          <w:rFonts w:ascii="Tahoma" w:hAnsi="Tahoma" w:cs="Tahoma"/>
          <w:sz w:val="16"/>
          <w:lang w:val="ru-RU"/>
        </w:rPr>
        <w:t>zaposlenih</w:t>
      </w:r>
      <w:r w:rsidR="005E0301" w:rsidRPr="0052611C">
        <w:rPr>
          <w:rFonts w:ascii="Tahoma" w:hAnsi="Tahoma" w:cs="Tahoma"/>
          <w:sz w:val="16"/>
          <w:lang w:val="ru-RU"/>
        </w:rPr>
        <w:t xml:space="preserve"> </w:t>
      </w:r>
      <w:r>
        <w:rPr>
          <w:rFonts w:ascii="Tahoma" w:hAnsi="Tahoma" w:cs="Tahoma"/>
          <w:sz w:val="16"/>
          <w:lang w:val="ru-RU"/>
        </w:rPr>
        <w:t>po</w:t>
      </w:r>
      <w:r w:rsidR="005E0301" w:rsidRPr="0052611C">
        <w:rPr>
          <w:rFonts w:ascii="Tahoma" w:hAnsi="Tahoma" w:cs="Tahoma"/>
          <w:sz w:val="16"/>
          <w:lang w:val="ru-RU"/>
        </w:rPr>
        <w:t xml:space="preserve"> </w:t>
      </w:r>
      <w:r>
        <w:rPr>
          <w:rFonts w:ascii="Tahoma" w:hAnsi="Tahoma" w:cs="Tahoma"/>
          <w:sz w:val="16"/>
          <w:lang w:val="ru-RU"/>
        </w:rPr>
        <w:t>mjesecima</w:t>
      </w:r>
    </w:p>
    <w:p w:rsidR="005E0301" w:rsidRPr="0052611C" w:rsidRDefault="005E0301" w:rsidP="005E0301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52611C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</w:p>
    <w:p w:rsidR="005E0301" w:rsidRPr="0052611C" w:rsidRDefault="005E0301" w:rsidP="005E030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p w:rsidR="001561A7" w:rsidRPr="0052611C" w:rsidRDefault="00541DAF" w:rsidP="001561A7">
      <w:pPr>
        <w:rPr>
          <w:rFonts w:ascii="Tahoma" w:hAnsi="Tahoma" w:cs="Tahoma"/>
          <w:b/>
          <w:sz w:val="28"/>
          <w:szCs w:val="28"/>
          <w:lang w:val="sr-Cyrl-BA"/>
        </w:rPr>
      </w:pPr>
      <w:r>
        <w:rPr>
          <w:rFonts w:ascii="Tahoma" w:hAnsi="Tahoma" w:cs="Tahoma"/>
          <w:b/>
          <w:sz w:val="28"/>
          <w:szCs w:val="28"/>
          <w:lang w:val="sr-Cyrl-BA"/>
        </w:rPr>
        <w:t>Mjesečna</w:t>
      </w:r>
      <w:r w:rsidR="001561A7" w:rsidRPr="0052611C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1561A7" w:rsidRPr="0052611C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1561A7" w:rsidRPr="0052611C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junu</w:t>
      </w:r>
      <w:r w:rsidR="001561A7" w:rsidRPr="0052611C">
        <w:rPr>
          <w:rFonts w:ascii="Tahoma" w:hAnsi="Tahoma" w:cs="Tahoma"/>
          <w:b/>
          <w:sz w:val="28"/>
          <w:szCs w:val="28"/>
          <w:lang w:val="sr-Cyrl-BA"/>
        </w:rPr>
        <w:t xml:space="preserve"> 2011.</w:t>
      </w:r>
      <w:r w:rsidR="006869EB" w:rsidRPr="0052611C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godine</w:t>
      </w:r>
      <w:r w:rsidR="006869EB" w:rsidRPr="0052611C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5F14A0" w:rsidRPr="0052611C">
        <w:rPr>
          <w:rFonts w:ascii="Tahoma" w:hAnsi="Tahoma" w:cs="Tahoma"/>
          <w:b/>
          <w:sz w:val="28"/>
          <w:szCs w:val="28"/>
          <w:lang w:val="sr-Cyrl-BA"/>
        </w:rPr>
        <w:t>-</w:t>
      </w:r>
      <w:r w:rsidR="006869EB" w:rsidRPr="0052611C">
        <w:rPr>
          <w:rFonts w:ascii="Tahoma" w:hAnsi="Tahoma" w:cs="Tahoma"/>
          <w:b/>
          <w:sz w:val="28"/>
          <w:szCs w:val="28"/>
          <w:lang w:val="sr-Cyrl-BA"/>
        </w:rPr>
        <w:t>0,</w:t>
      </w:r>
      <w:r w:rsidR="005F14A0" w:rsidRPr="0052611C">
        <w:rPr>
          <w:rFonts w:ascii="Tahoma" w:hAnsi="Tahoma" w:cs="Tahoma"/>
          <w:b/>
          <w:sz w:val="28"/>
          <w:szCs w:val="28"/>
          <w:lang w:val="sr-Cyrl-BA"/>
        </w:rPr>
        <w:t>7</w:t>
      </w:r>
      <w:r w:rsidR="006869EB" w:rsidRPr="0052611C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1561A7" w:rsidRPr="0052611C" w:rsidRDefault="00541DAF" w:rsidP="001561A7">
      <w:pPr>
        <w:rPr>
          <w:rFonts w:ascii="Tahoma" w:hAnsi="Tahoma" w:cs="Tahoma"/>
          <w:sz w:val="24"/>
          <w:szCs w:val="24"/>
          <w:lang w:val="sr-Cyrl-BA"/>
        </w:rPr>
      </w:pPr>
      <w:r>
        <w:rPr>
          <w:rFonts w:ascii="Tahoma" w:hAnsi="Tahoma" w:cs="Tahoma"/>
          <w:sz w:val="24"/>
          <w:szCs w:val="24"/>
          <w:lang w:val="sr-Cyrl-BA"/>
        </w:rPr>
        <w:t>Godišnja</w:t>
      </w:r>
      <w:r w:rsidR="001561A7" w:rsidRPr="0052611C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inflacija</w:t>
      </w:r>
      <w:r w:rsidR="001561A7" w:rsidRPr="0052611C">
        <w:rPr>
          <w:rFonts w:ascii="Tahoma" w:hAnsi="Tahoma" w:cs="Tahoma"/>
          <w:sz w:val="24"/>
          <w:szCs w:val="24"/>
          <w:lang w:val="sr-Cyrl-BA"/>
        </w:rPr>
        <w:t xml:space="preserve"> (</w:t>
      </w:r>
      <w:r w:rsidR="008B18BE" w:rsidRPr="0052611C">
        <w:rPr>
          <w:rFonts w:ascii="Tahoma" w:hAnsi="Tahoma" w:cs="Tahoma"/>
          <w:sz w:val="24"/>
          <w:szCs w:val="24"/>
        </w:rPr>
        <w:t>V</w:t>
      </w:r>
      <w:r w:rsidR="005F14A0" w:rsidRPr="0052611C">
        <w:rPr>
          <w:rFonts w:ascii="Tahoma" w:hAnsi="Tahoma" w:cs="Tahoma"/>
          <w:sz w:val="24"/>
          <w:szCs w:val="24"/>
          <w:lang w:val="sr-Cyrl-BA"/>
        </w:rPr>
        <w:t>I</w:t>
      </w:r>
      <w:r w:rsidR="001561A7" w:rsidRPr="0052611C">
        <w:rPr>
          <w:rFonts w:ascii="Tahoma" w:hAnsi="Tahoma" w:cs="Tahoma"/>
          <w:sz w:val="24"/>
          <w:szCs w:val="24"/>
          <w:lang w:val="sr-Cyrl-BA"/>
        </w:rPr>
        <w:t xml:space="preserve"> 2011/</w:t>
      </w:r>
      <w:r w:rsidR="008B18BE" w:rsidRPr="0052611C">
        <w:rPr>
          <w:rFonts w:ascii="Tahoma" w:hAnsi="Tahoma" w:cs="Tahoma"/>
          <w:sz w:val="24"/>
          <w:szCs w:val="24"/>
        </w:rPr>
        <w:t>V</w:t>
      </w:r>
      <w:r w:rsidR="005F14A0" w:rsidRPr="0052611C">
        <w:rPr>
          <w:rFonts w:ascii="Tahoma" w:hAnsi="Tahoma" w:cs="Tahoma"/>
          <w:sz w:val="24"/>
          <w:szCs w:val="24"/>
        </w:rPr>
        <w:t>I</w:t>
      </w:r>
      <w:r w:rsidR="001561A7" w:rsidRPr="0052611C">
        <w:rPr>
          <w:rFonts w:ascii="Tahoma" w:hAnsi="Tahoma" w:cs="Tahoma"/>
          <w:sz w:val="24"/>
          <w:szCs w:val="24"/>
          <w:lang w:val="sr-Cyrl-BA"/>
        </w:rPr>
        <w:t xml:space="preserve"> 2010</w:t>
      </w:r>
      <w:r w:rsidR="006869EB" w:rsidRPr="0052611C">
        <w:rPr>
          <w:rFonts w:ascii="Tahoma" w:hAnsi="Tahoma" w:cs="Tahoma"/>
          <w:sz w:val="24"/>
          <w:szCs w:val="24"/>
          <w:lang w:val="sr-Cyrl-BA"/>
        </w:rPr>
        <w:t>.</w:t>
      </w:r>
      <w:r w:rsidR="005F14A0" w:rsidRPr="0052611C">
        <w:rPr>
          <w:rFonts w:ascii="Tahoma" w:hAnsi="Tahoma" w:cs="Tahoma"/>
          <w:sz w:val="24"/>
          <w:szCs w:val="24"/>
          <w:lang w:val="sr-Cyrl-BA"/>
        </w:rPr>
        <w:t>) 4,0</w:t>
      </w:r>
      <w:r w:rsidR="001561A7" w:rsidRPr="0052611C">
        <w:rPr>
          <w:rFonts w:ascii="Tahoma" w:hAnsi="Tahoma" w:cs="Tahoma"/>
          <w:sz w:val="24"/>
          <w:szCs w:val="24"/>
          <w:lang w:val="sr-Cyrl-BA"/>
        </w:rPr>
        <w:t>%</w:t>
      </w:r>
    </w:p>
    <w:p w:rsidR="001561A7" w:rsidRPr="0052611C" w:rsidRDefault="001561A7" w:rsidP="001561A7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1561A7" w:rsidRPr="005D5311" w:rsidRDefault="00541DAF" w:rsidP="001561A7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  <w:lang w:val="sr-Cyrl-BA"/>
        </w:rPr>
      </w:pPr>
      <w:r>
        <w:rPr>
          <w:rFonts w:ascii="Tahoma" w:hAnsi="Tahoma" w:cs="Tahoma"/>
          <w:szCs w:val="18"/>
          <w:lang w:val="sr-Cyrl-BA"/>
        </w:rPr>
        <w:t>Cijene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proizvoda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i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usluga</w:t>
      </w:r>
      <w:r w:rsidR="001561A7" w:rsidRPr="005D5311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koje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se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koriste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za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ličnu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potrošnju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u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Republici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Srpskoj</w:t>
      </w:r>
      <w:r w:rsidR="001561A7" w:rsidRPr="005D5311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mjerene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indeksom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potrošačkih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cijena</w:t>
      </w:r>
      <w:r w:rsidR="001561A7" w:rsidRPr="005D5311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u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junu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2011. </w:t>
      </w:r>
      <w:r>
        <w:rPr>
          <w:rFonts w:ascii="Tahoma" w:hAnsi="Tahoma" w:cs="Tahoma"/>
          <w:szCs w:val="18"/>
          <w:lang w:val="sr-Cyrl-BA"/>
        </w:rPr>
        <w:t>godine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u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odnosu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na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maj</w:t>
      </w:r>
      <w:r w:rsidR="001561A7" w:rsidRPr="005D5311">
        <w:rPr>
          <w:rFonts w:ascii="Tahoma" w:hAnsi="Tahoma" w:cs="Tahoma"/>
          <w:szCs w:val="18"/>
          <w:lang w:val="sr-Cyrl-BA"/>
        </w:rPr>
        <w:t xml:space="preserve"> 2011. </w:t>
      </w:r>
      <w:r>
        <w:rPr>
          <w:rFonts w:ascii="Tahoma" w:hAnsi="Tahoma" w:cs="Tahoma"/>
          <w:szCs w:val="18"/>
          <w:lang w:val="sr-Cyrl-BA"/>
        </w:rPr>
        <w:t>godine</w:t>
      </w:r>
      <w:r w:rsidR="001561A7" w:rsidRPr="005D5311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niže</w:t>
      </w:r>
      <w:r w:rsidR="005E095F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su</w:t>
      </w:r>
      <w:r w:rsidR="005E095F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u</w:t>
      </w:r>
      <w:r w:rsidR="00CA7E07" w:rsidRPr="005D5311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prosjeku</w:t>
      </w:r>
      <w:r w:rsidR="00CA7E07" w:rsidRPr="005D5311">
        <w:rPr>
          <w:rFonts w:ascii="Tahoma" w:hAnsi="Tahoma" w:cs="Tahoma"/>
          <w:szCs w:val="18"/>
          <w:lang w:val="sr-Cyrl-BA"/>
        </w:rPr>
        <w:t xml:space="preserve"> 0,</w:t>
      </w:r>
      <w:r w:rsidR="005F14A0" w:rsidRPr="005D5311">
        <w:rPr>
          <w:rFonts w:ascii="Tahoma" w:hAnsi="Tahoma" w:cs="Tahoma"/>
          <w:szCs w:val="18"/>
          <w:lang w:val="sr-Cyrl-BA"/>
        </w:rPr>
        <w:t>7</w:t>
      </w:r>
      <w:r w:rsidR="001561A7" w:rsidRPr="005D5311">
        <w:rPr>
          <w:rFonts w:ascii="Tahoma" w:hAnsi="Tahoma" w:cs="Tahoma"/>
          <w:szCs w:val="18"/>
          <w:lang w:val="sr-Cyrl-BA"/>
        </w:rPr>
        <w:t>%.</w:t>
      </w:r>
    </w:p>
    <w:p w:rsidR="001561A7" w:rsidRPr="005D5311" w:rsidRDefault="001561A7" w:rsidP="001561A7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  <w:lang w:val="sr-Cyrl-BA"/>
        </w:rPr>
      </w:pPr>
    </w:p>
    <w:p w:rsidR="005F14A0" w:rsidRPr="005D5311" w:rsidRDefault="00541DAF" w:rsidP="005F14A0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Posmatrano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namjene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junu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maj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indeks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odjeljka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5F14A0" w:rsidRPr="005D5311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5F14A0" w:rsidRPr="005D5311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bezalkoholna</w:t>
      </w:r>
      <w:r w:rsidR="005F14A0" w:rsidRPr="005D5311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5F14A0" w:rsidRPr="005D5311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najveći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1,6%,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to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grupa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1,7% 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šta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najveći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uticaj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imalo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Povrće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19,0%, </w:t>
      </w:r>
      <w:r>
        <w:rPr>
          <w:rFonts w:ascii="Tahoma" w:eastAsia="Calibri" w:hAnsi="Tahoma" w:cs="Tahoma"/>
          <w:sz w:val="18"/>
          <w:szCs w:val="18"/>
          <w:lang w:val="sr-Cyrl-BA"/>
        </w:rPr>
        <w:t>usljed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sezonskog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uticaja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povrća</w:t>
      </w:r>
      <w:r w:rsidR="004B5631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.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Bezalkoholnih</w:t>
      </w:r>
      <w:r w:rsidR="005F14A0" w:rsidRPr="005D5311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0,4% </w:t>
      </w:r>
      <w:r>
        <w:rPr>
          <w:rFonts w:ascii="Tahoma" w:eastAsia="Calibri" w:hAnsi="Tahoma" w:cs="Tahoma"/>
          <w:sz w:val="18"/>
          <w:szCs w:val="18"/>
          <w:lang w:val="sr-Cyrl-BA"/>
        </w:rPr>
        <w:t>najviše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uticalo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mineralne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vode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1,2%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kafe</w:t>
      </w:r>
      <w:r w:rsidR="005F14A0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1,2%.</w:t>
      </w:r>
    </w:p>
    <w:p w:rsidR="005F14A0" w:rsidRPr="005D5311" w:rsidRDefault="00541DAF" w:rsidP="005F14A0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5F14A0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gdje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5F14A0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junu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pad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5F14A0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1,1%  </w:t>
      </w:r>
      <w:r>
        <w:rPr>
          <w:rFonts w:ascii="Tahoma" w:hAnsi="Tahoma" w:cs="Tahoma"/>
          <w:sz w:val="18"/>
          <w:szCs w:val="18"/>
          <w:lang w:val="sr-Cyrl-BA"/>
        </w:rPr>
        <w:t>najveći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uticaj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imalo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smanjenje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grupi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Goriva</w:t>
      </w:r>
      <w:r w:rsidR="005F14A0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5F14A0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maziva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2,1%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smanjenja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svih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vrsta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goriva</w:t>
      </w:r>
      <w:r w:rsidR="005F14A0" w:rsidRPr="005D5311">
        <w:rPr>
          <w:rFonts w:ascii="Tahoma" w:hAnsi="Tahoma" w:cs="Tahoma"/>
          <w:sz w:val="18"/>
          <w:szCs w:val="18"/>
          <w:lang w:val="sr-Cyrl-BA"/>
        </w:rPr>
        <w:t>.</w:t>
      </w:r>
    </w:p>
    <w:p w:rsidR="0052236A" w:rsidRPr="005D5311" w:rsidRDefault="0052236A" w:rsidP="0052236A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F2773E" w:rsidRPr="005D5311" w:rsidRDefault="00541DAF" w:rsidP="00F2773E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junu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naveći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Stanovanje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0,5%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to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grupi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Snabdjevanje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vodom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druge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komunalne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3,9%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vode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kanalizacije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Doboju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>.</w:t>
      </w:r>
    </w:p>
    <w:p w:rsidR="00E27853" w:rsidRPr="005D5311" w:rsidRDefault="00E27853" w:rsidP="001561A7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F2773E" w:rsidRPr="005D5311" w:rsidRDefault="00541DAF" w:rsidP="00F2773E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Indeks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odjeljka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Rekreacija</w:t>
      </w:r>
      <w:r w:rsidR="00F2773E" w:rsidRPr="005D5311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F2773E" w:rsidRPr="005D5311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kultura</w:t>
      </w:r>
      <w:r w:rsidR="00F2773E" w:rsidRPr="005D5311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viši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0,3% </w:t>
      </w:r>
      <w:r>
        <w:rPr>
          <w:rFonts w:ascii="Tahoma" w:eastAsia="Calibri" w:hAnsi="Tahoma" w:cs="Tahoma"/>
          <w:sz w:val="18"/>
          <w:szCs w:val="18"/>
          <w:lang w:val="sr-Cyrl-BA"/>
        </w:rPr>
        <w:t>što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prouzrokovano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povećanjem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putnih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aranžmana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5,7% </w:t>
      </w:r>
      <w:r>
        <w:rPr>
          <w:rFonts w:ascii="Tahoma" w:eastAsia="Calibri" w:hAnsi="Tahoma" w:cs="Tahoma"/>
          <w:sz w:val="18"/>
          <w:szCs w:val="18"/>
          <w:lang w:val="sr-Cyrl-BA"/>
        </w:rPr>
        <w:t>usljed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ljetne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sezone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>.</w:t>
      </w:r>
    </w:p>
    <w:p w:rsidR="00F2773E" w:rsidRPr="005D5311" w:rsidRDefault="00F2773E" w:rsidP="00F2773E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F2773E" w:rsidRPr="005D5311" w:rsidRDefault="00541DAF" w:rsidP="00F2773E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Indeks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odjeljka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Namještaj</w:t>
      </w:r>
      <w:r w:rsidR="00F2773E" w:rsidRPr="005D5311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F2773E" w:rsidRPr="005D5311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pokućstvo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0,2%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Proizvodi</w:t>
      </w:r>
      <w:r w:rsidR="00F2773E" w:rsidRPr="005D5311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za</w:t>
      </w:r>
      <w:r w:rsidR="00F2773E" w:rsidRPr="005D5311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čišćenje</w:t>
      </w:r>
      <w:r w:rsidR="00F2773E" w:rsidRPr="005D5311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F2773E" w:rsidRPr="005D5311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održavanje</w:t>
      </w:r>
      <w:r w:rsidR="00F2773E" w:rsidRPr="005D5311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domaćinstava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F2773E" w:rsidRPr="005D5311">
        <w:rPr>
          <w:rFonts w:ascii="Tahoma" w:eastAsia="Calibri" w:hAnsi="Tahoma" w:cs="Tahoma"/>
          <w:sz w:val="18"/>
          <w:szCs w:val="18"/>
          <w:lang w:val="sr-Cyrl-BA"/>
        </w:rPr>
        <w:t xml:space="preserve"> 0,9%.</w:t>
      </w:r>
    </w:p>
    <w:p w:rsidR="00F2773E" w:rsidRPr="005D5311" w:rsidRDefault="00F2773E" w:rsidP="00F2773E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F2773E" w:rsidRPr="005D5311" w:rsidRDefault="00541DAF" w:rsidP="00F2773E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>0,1%,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to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grupa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Akoholna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bilježi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0,2% </w:t>
      </w:r>
      <w:r>
        <w:rPr>
          <w:rFonts w:ascii="Tahoma" w:hAnsi="Tahoma" w:cs="Tahoma"/>
          <w:sz w:val="18"/>
          <w:szCs w:val="18"/>
          <w:lang w:val="sr-Cyrl-BA"/>
        </w:rPr>
        <w:t>usljed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poskupljenja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Vina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1,4%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Viskija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0,3%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>,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grupa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bilježi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0,1%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poskupljenja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Uvoznih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cigareta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>0,2%.</w:t>
      </w:r>
    </w:p>
    <w:p w:rsidR="001561A7" w:rsidRPr="005D5311" w:rsidRDefault="001561A7" w:rsidP="001561A7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1561A7" w:rsidRPr="005D5311" w:rsidRDefault="00541DAF" w:rsidP="001561A7">
      <w:pPr>
        <w:spacing w:after="200" w:line="276" w:lineRule="auto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Cijene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1561A7" w:rsidRPr="005D531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koji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1561A7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>,</w:t>
      </w:r>
      <w:r w:rsidR="001561A7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junu</w:t>
      </w:r>
      <w:r w:rsidR="001561A7" w:rsidRPr="005D5311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1561A7" w:rsidRPr="005D5311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>,</w:t>
      </w:r>
      <w:r w:rsidR="001561A7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1561A7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5D5311">
        <w:rPr>
          <w:rFonts w:ascii="Tahoma" w:hAnsi="Tahoma" w:cs="Tahoma"/>
          <w:sz w:val="18"/>
          <w:szCs w:val="18"/>
          <w:lang w:val="sr-Cyrl-CS"/>
        </w:rPr>
        <w:t xml:space="preserve"> 4,</w:t>
      </w:r>
      <w:r w:rsidR="00F2773E" w:rsidRPr="005D5311">
        <w:rPr>
          <w:rFonts w:ascii="Tahoma" w:hAnsi="Tahoma" w:cs="Tahoma"/>
          <w:sz w:val="18"/>
          <w:szCs w:val="18"/>
          <w:lang w:val="sr-Cyrl-CS"/>
        </w:rPr>
        <w:t>0</w:t>
      </w:r>
      <w:r w:rsidR="001561A7" w:rsidRPr="005D5311">
        <w:rPr>
          <w:rFonts w:ascii="Tahoma" w:hAnsi="Tahoma" w:cs="Tahoma"/>
          <w:sz w:val="18"/>
          <w:szCs w:val="18"/>
          <w:lang w:val="sr-Cyrl-CS"/>
        </w:rPr>
        <w:t>%.</w:t>
      </w:r>
    </w:p>
    <w:p w:rsidR="004A08B4" w:rsidRPr="005D5311" w:rsidRDefault="00541DAF" w:rsidP="00566311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Posmatrano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namjene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junu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najviši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10,</w:t>
      </w:r>
      <w:r w:rsidR="00566311" w:rsidRPr="005D5311">
        <w:rPr>
          <w:rFonts w:ascii="Tahoma" w:hAnsi="Tahoma" w:cs="Tahoma"/>
          <w:sz w:val="18"/>
          <w:szCs w:val="18"/>
          <w:lang w:val="sr-Cyrl-BA"/>
        </w:rPr>
        <w:t>2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slijede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indeksi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>: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7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>,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>3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%, 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8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>,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>4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>6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>,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>3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2,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>7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>%,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7D2F9C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7D2F9C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7D2F9C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7D2F9C" w:rsidRPr="005D5311">
        <w:rPr>
          <w:rFonts w:ascii="Tahoma" w:hAnsi="Tahoma" w:cs="Tahoma"/>
          <w:i/>
          <w:sz w:val="18"/>
          <w:szCs w:val="18"/>
          <w:lang w:val="sr-Cyrl-BA"/>
        </w:rPr>
        <w:t xml:space="preserve"> 0,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>8</w:t>
      </w:r>
      <w:r w:rsidR="007D2F9C" w:rsidRPr="005D5311">
        <w:rPr>
          <w:rFonts w:ascii="Tahoma" w:hAnsi="Tahoma" w:cs="Tahoma"/>
          <w:i/>
          <w:sz w:val="18"/>
          <w:szCs w:val="18"/>
          <w:lang w:val="sr-Cyrl-BA"/>
        </w:rPr>
        <w:t>%,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Restorani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hoteli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 xml:space="preserve"> 0,8%,</w:t>
      </w:r>
      <w:r w:rsidR="00566311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Rekracija</w:t>
      </w:r>
      <w:r w:rsidR="00566311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566311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kultura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D2F9C" w:rsidRPr="005D5311">
        <w:rPr>
          <w:rFonts w:ascii="Tahoma" w:hAnsi="Tahoma" w:cs="Tahoma"/>
          <w:sz w:val="18"/>
          <w:szCs w:val="18"/>
          <w:lang w:val="sr-Cyrl-BA"/>
        </w:rPr>
        <w:t>0,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>6</w:t>
      </w:r>
      <w:r w:rsidR="007D2F9C" w:rsidRPr="005D5311">
        <w:rPr>
          <w:rFonts w:ascii="Tahoma" w:hAnsi="Tahoma" w:cs="Tahoma"/>
          <w:sz w:val="18"/>
          <w:szCs w:val="18"/>
          <w:lang w:val="sr-Cyrl-BA"/>
        </w:rPr>
        <w:t>%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. </w:t>
      </w:r>
      <w:r>
        <w:rPr>
          <w:rFonts w:ascii="Tahoma" w:hAnsi="Tahoma" w:cs="Tahoma"/>
          <w:i/>
          <w:sz w:val="18"/>
          <w:szCs w:val="18"/>
          <w:lang w:val="sr-Cyrl-BA"/>
        </w:rPr>
        <w:t>Indeksi</w:t>
      </w:r>
      <w:r w:rsidR="00566311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odjeljaka</w:t>
      </w:r>
      <w:r w:rsidR="00566311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Obrazovanje</w:t>
      </w:r>
      <w:r w:rsidR="007D2F9C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niži</w:t>
      </w:r>
      <w:r w:rsidR="007D2F9C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je</w:t>
      </w:r>
      <w:r w:rsidR="007D2F9C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7D2F9C" w:rsidRPr="005D5311">
        <w:rPr>
          <w:rFonts w:ascii="Tahoma" w:hAnsi="Tahoma" w:cs="Tahoma"/>
          <w:i/>
          <w:sz w:val="18"/>
          <w:szCs w:val="18"/>
          <w:lang w:val="sr-Cyrl-BA"/>
        </w:rPr>
        <w:t xml:space="preserve"> 0,4%,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566311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566311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566311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566311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niži</w:t>
      </w:r>
      <w:r w:rsidR="007D2F9C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je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>1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>,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>0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>%,</w:t>
      </w:r>
      <w:r w:rsidR="00566311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Indeks</w:t>
      </w:r>
      <w:r w:rsidR="00566311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odjeljka</w:t>
      </w:r>
      <w:r w:rsidR="00566311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Zdravstvo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niži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je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7D2F9C" w:rsidRPr="005D5311">
        <w:rPr>
          <w:rFonts w:ascii="Tahoma" w:hAnsi="Tahoma" w:cs="Tahoma"/>
          <w:i/>
          <w:sz w:val="18"/>
          <w:szCs w:val="18"/>
          <w:lang w:val="sr-Cyrl-BA"/>
        </w:rPr>
        <w:t>1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>,</w:t>
      </w:r>
      <w:r w:rsidR="00F2773E" w:rsidRPr="005D5311">
        <w:rPr>
          <w:rFonts w:ascii="Tahoma" w:hAnsi="Tahoma" w:cs="Tahoma"/>
          <w:i/>
          <w:sz w:val="18"/>
          <w:szCs w:val="18"/>
          <w:lang w:val="sr-Cyrl-BA"/>
        </w:rPr>
        <w:t>5</w:t>
      </w:r>
      <w:r w:rsidR="00566311" w:rsidRPr="005D5311">
        <w:rPr>
          <w:rFonts w:ascii="Tahoma" w:hAnsi="Tahoma" w:cs="Tahoma"/>
          <w:i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Odjeća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1561A7" w:rsidRPr="005D531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obuća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 4,</w:t>
      </w:r>
      <w:r w:rsidR="00F2773E" w:rsidRPr="005D5311">
        <w:rPr>
          <w:rFonts w:ascii="Tahoma" w:hAnsi="Tahoma" w:cs="Tahoma"/>
          <w:sz w:val="18"/>
          <w:szCs w:val="18"/>
          <w:lang w:val="sr-Cyrl-BA"/>
        </w:rPr>
        <w:t>6</w:t>
      </w:r>
      <w:r w:rsidR="001561A7" w:rsidRPr="005D5311">
        <w:rPr>
          <w:rFonts w:ascii="Tahoma" w:hAnsi="Tahoma" w:cs="Tahoma"/>
          <w:sz w:val="18"/>
          <w:szCs w:val="18"/>
          <w:lang w:val="sr-Cyrl-BA"/>
        </w:rPr>
        <w:t xml:space="preserve">%. </w:t>
      </w:r>
    </w:p>
    <w:p w:rsidR="004A08B4" w:rsidRPr="0052611C" w:rsidRDefault="004A08B4" w:rsidP="005E030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p w:rsidR="009B0BA8" w:rsidRPr="0052611C" w:rsidRDefault="009B0BA8" w:rsidP="005E0301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5E0301" w:rsidRPr="0052611C" w:rsidRDefault="00541DAF" w:rsidP="005E0301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lastRenderedPageBreak/>
        <w:t>Cijene</w:t>
      </w:r>
      <w:r w:rsidR="005E0301"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proizvođača</w:t>
      </w:r>
      <w:r w:rsidR="005E0301"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industrijskih</w:t>
      </w:r>
      <w:r w:rsidR="005E0301"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proizvoda</w:t>
      </w:r>
      <w:r w:rsidR="005E0301"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153234" w:rsidRPr="0052611C">
        <w:rPr>
          <w:rFonts w:ascii="Tahoma" w:hAnsi="Tahoma" w:cs="Tahoma"/>
          <w:b/>
          <w:sz w:val="28"/>
          <w:szCs w:val="28"/>
          <w:lang w:val="sr-Cyrl-CS"/>
        </w:rPr>
        <w:t>(</w:t>
      </w:r>
      <w:r w:rsidR="00690920" w:rsidRPr="0052611C">
        <w:rPr>
          <w:rFonts w:ascii="Tahoma" w:hAnsi="Tahoma" w:cs="Tahoma"/>
          <w:b/>
          <w:sz w:val="28"/>
          <w:szCs w:val="28"/>
        </w:rPr>
        <w:t>V</w:t>
      </w:r>
      <w:r w:rsidR="00704439" w:rsidRPr="0052611C">
        <w:rPr>
          <w:rFonts w:ascii="Tahoma" w:hAnsi="Tahoma" w:cs="Tahoma"/>
          <w:b/>
          <w:sz w:val="28"/>
          <w:szCs w:val="28"/>
        </w:rPr>
        <w:t>I</w:t>
      </w:r>
      <w:r w:rsidR="00835F0E"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52611C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B6250B" w:rsidRPr="0052611C">
        <w:rPr>
          <w:rFonts w:ascii="Tahoma" w:hAnsi="Tahoma" w:cs="Tahoma"/>
          <w:b/>
          <w:sz w:val="28"/>
          <w:szCs w:val="28"/>
          <w:lang w:val="sr-Latn-CS"/>
        </w:rPr>
        <w:t>1</w:t>
      </w:r>
      <w:r w:rsidR="0009483B" w:rsidRPr="0052611C">
        <w:rPr>
          <w:rFonts w:ascii="Tahoma" w:hAnsi="Tahoma" w:cs="Tahoma"/>
          <w:b/>
          <w:sz w:val="28"/>
          <w:szCs w:val="28"/>
          <w:lang w:val="sr-Cyrl-CS"/>
        </w:rPr>
        <w:t>/</w:t>
      </w:r>
      <w:r w:rsidR="001B32B9" w:rsidRPr="0052611C">
        <w:rPr>
          <w:rFonts w:ascii="Tahoma" w:hAnsi="Tahoma" w:cs="Tahoma"/>
          <w:b/>
          <w:sz w:val="28"/>
          <w:szCs w:val="28"/>
          <w:lang w:val="sr-Latn-CS"/>
        </w:rPr>
        <w:t>V</w:t>
      </w:r>
      <w:r w:rsidR="0009483B" w:rsidRPr="0052611C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09483B" w:rsidRPr="0052611C">
        <w:rPr>
          <w:rFonts w:ascii="Tahoma" w:hAnsi="Tahoma" w:cs="Tahoma"/>
          <w:b/>
          <w:sz w:val="28"/>
          <w:szCs w:val="28"/>
          <w:lang w:val="sr-Latn-CS"/>
        </w:rPr>
        <w:t>1</w:t>
      </w:r>
      <w:r w:rsidR="00E32A08" w:rsidRPr="0052611C">
        <w:rPr>
          <w:rFonts w:ascii="Tahoma" w:hAnsi="Tahoma" w:cs="Tahoma"/>
          <w:b/>
          <w:sz w:val="28"/>
          <w:szCs w:val="28"/>
          <w:lang w:val="sr-Latn-CS"/>
        </w:rPr>
        <w:t>.</w:t>
      </w:r>
      <w:r w:rsidR="00153234" w:rsidRPr="0052611C">
        <w:rPr>
          <w:rFonts w:ascii="Tahoma" w:hAnsi="Tahoma" w:cs="Tahoma"/>
          <w:b/>
          <w:sz w:val="28"/>
          <w:szCs w:val="28"/>
          <w:lang w:val="sr-Cyrl-CS"/>
        </w:rPr>
        <w:t>)</w:t>
      </w:r>
      <w:r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u</w:t>
      </w:r>
      <w:r w:rsidR="00690920"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prosjeku</w:t>
      </w:r>
      <w:r w:rsidR="00690920"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više</w:t>
      </w:r>
      <w:r w:rsidR="00704439" w:rsidRPr="0052611C">
        <w:rPr>
          <w:rFonts w:ascii="Tahoma" w:hAnsi="Tahoma" w:cs="Tahoma"/>
          <w:b/>
          <w:sz w:val="28"/>
          <w:szCs w:val="28"/>
          <w:lang w:val="sr-Cyrl-CS"/>
        </w:rPr>
        <w:t xml:space="preserve"> 0,2</w:t>
      </w:r>
      <w:r w:rsidR="001B32B9" w:rsidRPr="0052611C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B32B9" w:rsidRPr="0052611C" w:rsidRDefault="001B32B9" w:rsidP="005E0301">
      <w:pPr>
        <w:jc w:val="both"/>
        <w:rPr>
          <w:rFonts w:ascii="Tahoma" w:hAnsi="Tahoma" w:cs="Tahoma"/>
          <w:lang w:val="sr-Cyrl-CS"/>
        </w:rPr>
      </w:pPr>
    </w:p>
    <w:p w:rsidR="007348F9" w:rsidRPr="005D5311" w:rsidRDefault="00541DAF" w:rsidP="007348F9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Cijen</w:t>
      </w:r>
      <w:r w:rsidR="007348F9" w:rsidRPr="005D5311">
        <w:rPr>
          <w:rFonts w:ascii="Tahoma" w:hAnsi="Tahoma" w:cs="Tahoma"/>
          <w:sz w:val="18"/>
          <w:szCs w:val="18"/>
        </w:rPr>
        <w:t>e</w:t>
      </w:r>
      <w:r w:rsidR="007348F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proizvođač</w:t>
      </w:r>
      <w:r w:rsidR="007348F9" w:rsidRPr="005D5311">
        <w:rPr>
          <w:rFonts w:ascii="Tahoma" w:hAnsi="Tahoma" w:cs="Tahoma"/>
          <w:sz w:val="18"/>
          <w:szCs w:val="18"/>
        </w:rPr>
        <w:t>a</w:t>
      </w:r>
      <w:r w:rsidR="007348F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industrijskih</w:t>
      </w:r>
      <w:r w:rsidR="007348F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7348F9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7348F9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7348F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348F9" w:rsidRPr="005D5311">
        <w:rPr>
          <w:rFonts w:ascii="Tahoma" w:hAnsi="Tahoma" w:cs="Tahoma"/>
          <w:sz w:val="18"/>
          <w:szCs w:val="18"/>
          <w:lang w:val="hr-HR"/>
        </w:rPr>
        <w:t>20</w:t>
      </w:r>
      <w:r w:rsidR="007348F9" w:rsidRPr="005D5311">
        <w:rPr>
          <w:rFonts w:ascii="Tahoma" w:hAnsi="Tahoma" w:cs="Tahoma"/>
          <w:sz w:val="18"/>
          <w:szCs w:val="18"/>
          <w:lang w:val="sr-Cyrl-CS"/>
        </w:rPr>
        <w:t>11</w:t>
      </w:r>
      <w:r w:rsidR="007348F9" w:rsidRPr="005D5311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7348F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7348F9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7348F9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7348F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</w:t>
      </w:r>
      <w:r w:rsidR="007348F9" w:rsidRPr="005D5311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7348F9" w:rsidRPr="005D5311">
        <w:rPr>
          <w:rFonts w:ascii="Tahoma" w:hAnsi="Tahoma" w:cs="Tahoma"/>
          <w:sz w:val="18"/>
          <w:szCs w:val="18"/>
          <w:lang w:val="hr-HR"/>
        </w:rPr>
        <w:t>201</w:t>
      </w:r>
      <w:r w:rsidR="007348F9" w:rsidRPr="005D5311">
        <w:rPr>
          <w:rFonts w:ascii="Tahoma" w:hAnsi="Tahoma" w:cs="Tahoma"/>
          <w:sz w:val="18"/>
          <w:szCs w:val="18"/>
          <w:lang w:val="sr-Cyrl-CS"/>
        </w:rPr>
        <w:t>1</w:t>
      </w:r>
      <w:r w:rsidR="007348F9" w:rsidRPr="005D5311">
        <w:rPr>
          <w:rFonts w:ascii="Tahoma" w:hAnsi="Tahoma" w:cs="Tahoma"/>
          <w:sz w:val="18"/>
          <w:szCs w:val="18"/>
          <w:lang w:val="hr-HR"/>
        </w:rPr>
        <w:t>.</w:t>
      </w:r>
      <w:r w:rsidR="007348F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7348F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7348F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7348F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7348F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E93C2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93C29" w:rsidRPr="005D5311">
        <w:rPr>
          <w:rFonts w:ascii="Tahoma" w:hAnsi="Tahoma" w:cs="Tahoma"/>
          <w:sz w:val="18"/>
          <w:szCs w:val="18"/>
          <w:lang w:val="sr-Cyrl-CS"/>
        </w:rPr>
        <w:t xml:space="preserve"> 0,2</w:t>
      </w:r>
      <w:r w:rsidR="00B12215" w:rsidRPr="005D5311">
        <w:rPr>
          <w:rFonts w:ascii="Tahoma" w:hAnsi="Tahoma" w:cs="Tahoma"/>
          <w:sz w:val="18"/>
          <w:szCs w:val="18"/>
          <w:lang w:val="sr-Cyrl-CS"/>
        </w:rPr>
        <w:t>%</w:t>
      </w:r>
      <w:r w:rsidR="007348F9" w:rsidRPr="005D5311">
        <w:rPr>
          <w:rFonts w:ascii="Tahoma" w:hAnsi="Tahoma" w:cs="Tahoma"/>
          <w:sz w:val="18"/>
          <w:szCs w:val="18"/>
          <w:lang w:val="sr-Latn-CS"/>
        </w:rPr>
        <w:t>, a</w:t>
      </w:r>
      <w:r w:rsidR="00E93C2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93C2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E93C2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93C2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</w:t>
      </w:r>
      <w:r w:rsidR="007348F9" w:rsidRPr="005D5311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7348F9" w:rsidRPr="005D5311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E93C2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E93C2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93C29" w:rsidRPr="005D5311">
        <w:rPr>
          <w:rFonts w:ascii="Tahoma" w:hAnsi="Tahoma" w:cs="Tahoma"/>
          <w:sz w:val="18"/>
          <w:szCs w:val="18"/>
          <w:lang w:val="sr-Cyrl-CS"/>
        </w:rPr>
        <w:t xml:space="preserve"> 5,1</w:t>
      </w:r>
      <w:r w:rsidR="007348F9" w:rsidRPr="005D5311">
        <w:rPr>
          <w:rFonts w:ascii="Tahoma" w:hAnsi="Tahoma" w:cs="Tahoma"/>
          <w:sz w:val="18"/>
          <w:szCs w:val="18"/>
          <w:lang w:val="sr-Cyrl-CS"/>
        </w:rPr>
        <w:t>%.</w:t>
      </w:r>
    </w:p>
    <w:p w:rsidR="00AC084B" w:rsidRPr="005D5311" w:rsidRDefault="00AC084B" w:rsidP="007348F9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C084B" w:rsidRPr="005D5311" w:rsidRDefault="00541DAF" w:rsidP="00AC084B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C084B" w:rsidRPr="005D5311">
        <w:rPr>
          <w:rFonts w:ascii="Tahoma" w:hAnsi="Tahoma" w:cs="Tahoma"/>
          <w:sz w:val="18"/>
          <w:szCs w:val="18"/>
          <w:lang w:val="hr-HR"/>
        </w:rPr>
        <w:t>20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>11</w:t>
      </w:r>
      <w:r w:rsidR="00AC084B" w:rsidRPr="005D5311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AC084B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AC084B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</w:t>
      </w:r>
      <w:r w:rsidR="00AC084B" w:rsidRPr="005D5311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AC084B" w:rsidRPr="005D5311">
        <w:rPr>
          <w:rFonts w:ascii="Tahoma" w:hAnsi="Tahoma" w:cs="Tahoma"/>
          <w:sz w:val="18"/>
          <w:szCs w:val="18"/>
          <w:lang w:val="hr-HR"/>
        </w:rPr>
        <w:t>201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C084B" w:rsidRPr="005D5311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AC084B" w:rsidRPr="005D5311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84B" w:rsidRPr="005D5311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>3</w:t>
      </w:r>
      <w:r w:rsidR="00AC084B" w:rsidRPr="005D5311">
        <w:rPr>
          <w:rFonts w:ascii="Tahoma" w:hAnsi="Tahoma" w:cs="Tahoma"/>
          <w:sz w:val="18"/>
          <w:szCs w:val="18"/>
          <w:lang w:val="sr-Latn-CS"/>
        </w:rPr>
        <w:t>%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C084B" w:rsidRPr="005D5311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C084B" w:rsidRPr="005D5311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0,2%,</w:t>
      </w:r>
      <w:r w:rsidR="00AC084B" w:rsidRPr="005D5311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0,1%,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>.</w:t>
      </w:r>
    </w:p>
    <w:p w:rsidR="00AC084B" w:rsidRPr="005D5311" w:rsidRDefault="00AC084B" w:rsidP="00AC084B">
      <w:pPr>
        <w:ind w:firstLine="90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5D5311" w:rsidRDefault="00541DAF" w:rsidP="005E0301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0A5A0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osmatrano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5E0301" w:rsidRPr="005D5311">
        <w:rPr>
          <w:rFonts w:ascii="Tahoma" w:hAnsi="Tahoma" w:cs="Tahoma"/>
          <w:sz w:val="18"/>
          <w:szCs w:val="18"/>
          <w:lang w:val="hr-HR"/>
        </w:rPr>
        <w:t xml:space="preserve"> 20</w:t>
      </w:r>
      <w:r w:rsidR="00AA2389" w:rsidRPr="005D5311">
        <w:rPr>
          <w:rFonts w:ascii="Tahoma" w:hAnsi="Tahoma" w:cs="Tahoma"/>
          <w:sz w:val="18"/>
          <w:szCs w:val="18"/>
          <w:lang w:val="sr-Cyrl-CS"/>
        </w:rPr>
        <w:t>11</w:t>
      </w:r>
      <w:r w:rsidR="005E0301" w:rsidRPr="005D5311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5E0301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AA238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</w:t>
      </w:r>
      <w:r w:rsidR="00AA2389" w:rsidRPr="005D5311">
        <w:rPr>
          <w:rFonts w:ascii="Tahoma" w:hAnsi="Tahoma" w:cs="Tahoma"/>
          <w:sz w:val="18"/>
          <w:szCs w:val="18"/>
          <w:lang w:val="sr-Cyrl-CS"/>
        </w:rPr>
        <w:t xml:space="preserve"> 2010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53234" w:rsidRPr="005D5311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5E0301" w:rsidRPr="005D5311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5E0301" w:rsidRPr="005D5311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11,8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>%</w:t>
      </w:r>
      <w:r w:rsidR="00153234" w:rsidRPr="005D5311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0A5A0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0A5A0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A238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5,6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>%,</w:t>
      </w:r>
      <w:r w:rsidR="00C1065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C1065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C1065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C1065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1065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C1065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 xml:space="preserve"> 5,1</w:t>
      </w:r>
      <w:r w:rsidR="00C1065E" w:rsidRPr="005D5311">
        <w:rPr>
          <w:rFonts w:ascii="Tahoma" w:hAnsi="Tahoma" w:cs="Tahoma"/>
          <w:sz w:val="18"/>
          <w:szCs w:val="18"/>
          <w:lang w:val="sr-Cyrl-CS"/>
        </w:rPr>
        <w:t>%,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C084B" w:rsidRPr="005D5311">
        <w:rPr>
          <w:rFonts w:ascii="Tahoma" w:hAnsi="Tahoma" w:cs="Tahoma"/>
          <w:sz w:val="18"/>
          <w:szCs w:val="18"/>
          <w:lang w:val="sr-Cyrl-CS"/>
        </w:rPr>
        <w:t>4,0</w:t>
      </w:r>
      <w:r w:rsidR="00C1065E" w:rsidRPr="005D5311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C1065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1065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C1065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C1065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1065E" w:rsidRPr="005D5311">
        <w:rPr>
          <w:rFonts w:ascii="Tahoma" w:hAnsi="Tahoma" w:cs="Tahoma"/>
          <w:sz w:val="18"/>
          <w:szCs w:val="18"/>
          <w:lang w:val="sr-Cyrl-CS"/>
        </w:rPr>
        <w:t xml:space="preserve"> 0,4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>%.</w:t>
      </w:r>
    </w:p>
    <w:p w:rsidR="005E0301" w:rsidRPr="005D5311" w:rsidRDefault="005E0301" w:rsidP="005E0301">
      <w:pPr>
        <w:ind w:left="-540"/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</w:p>
    <w:p w:rsidR="00CD26F2" w:rsidRPr="005D5311" w:rsidRDefault="00541DAF" w:rsidP="00CD26F2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CD26F2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po</w:t>
      </w:r>
      <w:r w:rsidR="00CD26F2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CD26F2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industrijske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proizvodnje</w:t>
      </w:r>
      <w:r w:rsidR="00CD26F2" w:rsidRPr="005D5311">
        <w:rPr>
          <w:rFonts w:ascii="Tahoma" w:hAnsi="Tahoma" w:cs="Tahoma"/>
          <w:sz w:val="18"/>
          <w:szCs w:val="18"/>
          <w:lang w:val="hr-HR"/>
        </w:rPr>
        <w:t xml:space="preserve"> (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>PRODCOM</w:t>
      </w:r>
      <w:r w:rsidR="00CD26F2" w:rsidRPr="005D5311">
        <w:rPr>
          <w:rFonts w:ascii="Tahoma" w:hAnsi="Tahoma" w:cs="Tahoma"/>
          <w:sz w:val="18"/>
          <w:szCs w:val="18"/>
          <w:lang w:val="hr-HR"/>
        </w:rPr>
        <w:t>)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>,</w:t>
      </w:r>
      <w:r w:rsidR="00CD26F2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CD26F2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>(</w:t>
      </w:r>
      <w:r>
        <w:rPr>
          <w:rFonts w:ascii="Tahoma" w:hAnsi="Tahoma" w:cs="Tahoma"/>
          <w:sz w:val="18"/>
          <w:szCs w:val="18"/>
          <w:lang w:val="sr-Cyrl-CS"/>
        </w:rPr>
        <w:t>C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>)</w:t>
      </w:r>
      <w:r w:rsidR="00CD26F2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vađenje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ruda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kamena</w:t>
      </w:r>
      <w:r w:rsidR="00CD26F2" w:rsidRPr="005D5311">
        <w:rPr>
          <w:rFonts w:ascii="Tahoma" w:hAnsi="Tahoma" w:cs="Tahoma"/>
          <w:sz w:val="18"/>
          <w:szCs w:val="18"/>
          <w:lang w:val="ru-RU"/>
        </w:rPr>
        <w:t>,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D26F2" w:rsidRPr="005D5311">
        <w:rPr>
          <w:rFonts w:ascii="Tahoma" w:hAnsi="Tahoma" w:cs="Tahoma"/>
          <w:sz w:val="18"/>
          <w:szCs w:val="18"/>
          <w:lang w:val="hr-HR"/>
        </w:rPr>
        <w:t>20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>11</w:t>
      </w:r>
      <w:r w:rsidR="00CD26F2" w:rsidRPr="005D5311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D26F2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CD26F2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</w:t>
      </w:r>
      <w:r w:rsidR="00CD26F2" w:rsidRPr="005D5311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CD26F2" w:rsidRPr="005D5311">
        <w:rPr>
          <w:rFonts w:ascii="Tahoma" w:hAnsi="Tahoma" w:cs="Tahoma"/>
          <w:sz w:val="18"/>
          <w:szCs w:val="18"/>
          <w:lang w:val="hr-HR"/>
        </w:rPr>
        <w:t>201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>1</w:t>
      </w:r>
      <w:r w:rsidR="00CD26F2" w:rsidRPr="005D5311">
        <w:rPr>
          <w:rFonts w:ascii="Tahoma" w:hAnsi="Tahoma" w:cs="Tahoma"/>
          <w:sz w:val="18"/>
          <w:szCs w:val="18"/>
          <w:lang w:val="hr-HR"/>
        </w:rPr>
        <w:t>.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0,7%,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CD26F2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D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) </w:t>
      </w:r>
      <w:r>
        <w:rPr>
          <w:rFonts w:ascii="Tahoma" w:hAnsi="Tahoma" w:cs="Tahoma"/>
          <w:sz w:val="18"/>
          <w:szCs w:val="18"/>
          <w:lang w:val="sr-Cyrl-CS"/>
        </w:rPr>
        <w:t>prerađivačka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E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)  </w:t>
      </w:r>
      <w:r>
        <w:rPr>
          <w:rFonts w:ascii="Tahoma" w:hAnsi="Tahoma" w:cs="Tahoma"/>
          <w:sz w:val="18"/>
          <w:szCs w:val="18"/>
          <w:lang w:val="sr-Cyrl-CS"/>
        </w:rPr>
        <w:t>proizvodnja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snabdjevanje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električnom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energijom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gasom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vodom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CD26F2" w:rsidRPr="005D5311">
        <w:rPr>
          <w:rFonts w:ascii="Tahoma" w:hAnsi="Tahoma" w:cs="Tahoma"/>
          <w:sz w:val="18"/>
          <w:szCs w:val="18"/>
          <w:lang w:val="sr-Latn-BA"/>
        </w:rPr>
        <w:t>.</w:t>
      </w:r>
    </w:p>
    <w:p w:rsidR="00C0614D" w:rsidRPr="005D5311" w:rsidRDefault="00C0614D" w:rsidP="00C0614D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874ED" w:rsidRPr="005D5311" w:rsidRDefault="00541DAF" w:rsidP="005E0301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bs-Cyrl-BA"/>
        </w:rPr>
        <w:t>U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5D5311">
        <w:rPr>
          <w:rFonts w:ascii="Tahoma" w:hAnsi="Tahoma" w:cs="Tahoma"/>
          <w:sz w:val="18"/>
          <w:szCs w:val="18"/>
          <w:lang w:val="hr-HR"/>
        </w:rPr>
        <w:t>20</w:t>
      </w:r>
      <w:r w:rsidR="00A507FC" w:rsidRPr="005D5311">
        <w:rPr>
          <w:rFonts w:ascii="Tahoma" w:hAnsi="Tahoma" w:cs="Tahoma"/>
          <w:sz w:val="18"/>
          <w:szCs w:val="18"/>
          <w:lang w:val="sr-Cyrl-CS"/>
        </w:rPr>
        <w:t>11</w:t>
      </w:r>
      <w:r w:rsidR="005E0301" w:rsidRPr="005D5311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F5630" w:rsidRPr="005D5311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5E0301" w:rsidRPr="005D531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5D5311">
        <w:rPr>
          <w:rFonts w:ascii="Tahoma" w:hAnsi="Tahoma" w:cs="Tahoma"/>
          <w:sz w:val="18"/>
          <w:szCs w:val="18"/>
          <w:lang w:val="hr-HR"/>
        </w:rPr>
        <w:t>20</w:t>
      </w:r>
      <w:r w:rsidR="00A507FC" w:rsidRPr="005D5311">
        <w:rPr>
          <w:rFonts w:ascii="Tahoma" w:hAnsi="Tahoma" w:cs="Tahoma"/>
          <w:sz w:val="18"/>
          <w:szCs w:val="18"/>
          <w:lang w:val="sr-Cyrl-CS"/>
        </w:rPr>
        <w:t>10</w:t>
      </w:r>
      <w:r w:rsidR="005E0301" w:rsidRPr="005D5311">
        <w:rPr>
          <w:rFonts w:ascii="Tahoma" w:hAnsi="Tahoma" w:cs="Tahoma"/>
          <w:sz w:val="18"/>
          <w:szCs w:val="18"/>
          <w:lang w:val="hr-HR"/>
        </w:rPr>
        <w:t>.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</w:t>
      </w:r>
      <w:r w:rsidR="005E0301" w:rsidRPr="005D5311"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B5460E" w:rsidRPr="005D5311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B5460E" w:rsidRPr="005D5311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B5460E" w:rsidRPr="005D5311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F445C9" w:rsidRPr="005D5311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D26F2" w:rsidRPr="005D5311">
        <w:rPr>
          <w:rFonts w:ascii="Tahoma" w:hAnsi="Tahoma" w:cs="Tahoma"/>
          <w:sz w:val="18"/>
          <w:szCs w:val="18"/>
          <w:lang w:val="sr-Cyrl-CS"/>
        </w:rPr>
        <w:t xml:space="preserve"> 12,4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153234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Prerađivačka</w:t>
      </w:r>
      <w:r w:rsidR="00B5460E" w:rsidRPr="005D531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industrija</w:t>
      </w:r>
      <w:r w:rsidR="00CD26F2" w:rsidRPr="005D5311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za</w:t>
      </w:r>
      <w:r w:rsidR="00CD26F2" w:rsidRPr="005D5311">
        <w:rPr>
          <w:rFonts w:ascii="Tahoma" w:hAnsi="Tahoma" w:cs="Tahoma"/>
          <w:bCs/>
          <w:sz w:val="18"/>
          <w:szCs w:val="18"/>
          <w:lang w:val="sr-Cyrl-CS"/>
        </w:rPr>
        <w:t xml:space="preserve"> 6,3</w:t>
      </w:r>
      <w:r w:rsidR="00305B23" w:rsidRPr="005D5311">
        <w:rPr>
          <w:rFonts w:ascii="Tahoma" w:hAnsi="Tahoma" w:cs="Tahoma"/>
          <w:bCs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bCs/>
          <w:sz w:val="18"/>
          <w:szCs w:val="18"/>
          <w:lang w:val="sr-Cyrl-CS"/>
        </w:rPr>
        <w:t>i</w:t>
      </w:r>
      <w:r w:rsidR="00305B23" w:rsidRPr="005D5311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cijene</w:t>
      </w:r>
      <w:r w:rsidR="00305B23" w:rsidRPr="005D5311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područja</w:t>
      </w:r>
      <w:r w:rsidR="00305B23" w:rsidRPr="005D531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Proizvodnja</w:t>
      </w:r>
      <w:r w:rsidR="005E0301" w:rsidRPr="005D531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5E0301" w:rsidRPr="005D531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snabdijevanje</w:t>
      </w:r>
      <w:r w:rsidR="005E0301" w:rsidRPr="005D531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električnom</w:t>
      </w:r>
      <w:r w:rsidR="005E0301" w:rsidRPr="005D531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energijom</w:t>
      </w:r>
      <w:r w:rsidR="005E0301" w:rsidRPr="005D5311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gasom</w:t>
      </w:r>
      <w:r w:rsidR="005E0301" w:rsidRPr="005D531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5E0301" w:rsidRPr="005D531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vodom</w:t>
      </w:r>
      <w:r w:rsidR="00F445C9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445C9" w:rsidRPr="005D5311">
        <w:rPr>
          <w:rFonts w:ascii="Tahoma" w:hAnsi="Tahoma" w:cs="Tahoma"/>
          <w:sz w:val="18"/>
          <w:szCs w:val="18"/>
          <w:lang w:val="sr-Cyrl-CS"/>
        </w:rPr>
        <w:t xml:space="preserve"> 0,6</w:t>
      </w:r>
      <w:r w:rsidR="005E0301" w:rsidRPr="005D5311">
        <w:rPr>
          <w:rFonts w:ascii="Tahoma" w:hAnsi="Tahoma" w:cs="Tahoma"/>
          <w:sz w:val="18"/>
          <w:szCs w:val="18"/>
          <w:lang w:val="sr-Cyrl-CS"/>
        </w:rPr>
        <w:t>%</w:t>
      </w:r>
      <w:r w:rsidR="00305B23" w:rsidRPr="005D5311">
        <w:rPr>
          <w:rFonts w:ascii="Tahoma" w:hAnsi="Tahoma" w:cs="Tahoma"/>
          <w:sz w:val="18"/>
          <w:szCs w:val="18"/>
          <w:lang w:val="sr-Cyrl-CS"/>
        </w:rPr>
        <w:t>.</w:t>
      </w:r>
    </w:p>
    <w:p w:rsidR="002874ED" w:rsidRPr="0052611C" w:rsidRDefault="002874ED" w:rsidP="005E030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B0BA8" w:rsidRPr="0052611C" w:rsidRDefault="009B0BA8" w:rsidP="005E0301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E0301" w:rsidRPr="0052611C" w:rsidRDefault="00541DAF" w:rsidP="005E0301">
      <w:pPr>
        <w:tabs>
          <w:tab w:val="left" w:pos="0"/>
          <w:tab w:val="left" w:pos="1100"/>
        </w:tabs>
        <w:jc w:val="both"/>
        <w:rPr>
          <w:lang w:val="sr-Cyrl-CS"/>
        </w:rPr>
      </w:pPr>
      <w:r>
        <w:rPr>
          <w:rFonts w:ascii="Tahoma" w:hAnsi="Tahoma" w:cs="Tahoma"/>
          <w:b/>
          <w:spacing w:val="-4"/>
          <w:sz w:val="28"/>
          <w:szCs w:val="28"/>
          <w:lang w:val="sr-Cyrl-CS"/>
        </w:rPr>
        <w:t>Indeks</w:t>
      </w:r>
      <w:r w:rsidR="005E0301" w:rsidRPr="0052611C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industrijske</w:t>
      </w:r>
      <w:r w:rsidR="005E0301" w:rsidRPr="0052611C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proizvodnje</w:t>
      </w:r>
      <w:r w:rsidR="005E0301" w:rsidRPr="0052611C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 w:rsidR="00E578C7" w:rsidRPr="0052611C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5D2E6F" w:rsidRPr="0052611C">
        <w:rPr>
          <w:rFonts w:ascii="Tahoma" w:hAnsi="Tahoma" w:cs="Tahoma"/>
          <w:b/>
          <w:spacing w:val="-4"/>
          <w:sz w:val="28"/>
          <w:szCs w:val="28"/>
        </w:rPr>
        <w:t>V</w:t>
      </w:r>
      <w:r w:rsidR="00256280" w:rsidRPr="0052611C">
        <w:rPr>
          <w:rFonts w:ascii="Tahoma" w:hAnsi="Tahoma" w:cs="Tahoma"/>
          <w:b/>
          <w:spacing w:val="-4"/>
          <w:sz w:val="28"/>
          <w:szCs w:val="28"/>
        </w:rPr>
        <w:t>I</w:t>
      </w:r>
      <w:r w:rsidR="005E0301" w:rsidRPr="0052611C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</w:t>
      </w:r>
      <w:r w:rsidR="00E578C7" w:rsidRPr="0052611C">
        <w:rPr>
          <w:rFonts w:ascii="Tahoma" w:hAnsi="Tahoma" w:cs="Tahoma"/>
          <w:b/>
          <w:spacing w:val="-4"/>
          <w:sz w:val="28"/>
          <w:szCs w:val="28"/>
          <w:lang w:val="hr-HR"/>
        </w:rPr>
        <w:t>1</w:t>
      </w:r>
      <w:r w:rsidR="005E0301" w:rsidRPr="0052611C">
        <w:rPr>
          <w:rFonts w:ascii="Tahoma" w:hAnsi="Tahoma" w:cs="Tahoma"/>
          <w:b/>
          <w:spacing w:val="-4"/>
          <w:sz w:val="28"/>
          <w:szCs w:val="28"/>
          <w:lang w:val="hr-HR"/>
        </w:rPr>
        <w:t>/</w:t>
      </w:r>
      <w:r w:rsidR="005E0301" w:rsidRPr="0052611C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="005E0301" w:rsidRPr="0052611C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="005E0301" w:rsidRPr="0052611C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E578C7" w:rsidRPr="0052611C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10</w:t>
      </w:r>
      <w:r w:rsidR="006869EB" w:rsidRPr="0052611C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.</w:t>
      </w:r>
      <w:r w:rsidR="005E0301" w:rsidRPr="0052611C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veći</w:t>
      </w:r>
      <w:r w:rsidR="005E0301" w:rsidRPr="0052611C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256280" w:rsidRPr="0052611C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10</w:t>
      </w:r>
      <w:r w:rsidR="005E0301" w:rsidRPr="0052611C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="00AC5FA4" w:rsidRPr="0052611C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4</w:t>
      </w:r>
      <w:r w:rsidR="005E0301" w:rsidRPr="0052611C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5E0301" w:rsidRPr="0052611C" w:rsidRDefault="00541DAF" w:rsidP="005E0301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Indeks</w:t>
      </w:r>
      <w:r w:rsidR="005E0301" w:rsidRPr="0052611C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zaposlenih</w:t>
      </w:r>
      <w:r w:rsidR="005E0301" w:rsidRPr="0052611C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5E0301" w:rsidRPr="0052611C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industriji</w:t>
      </w:r>
      <w:r w:rsidR="005E0301" w:rsidRPr="0052611C">
        <w:rPr>
          <w:rFonts w:ascii="Tahoma" w:hAnsi="Tahoma" w:cs="Tahoma"/>
          <w:sz w:val="24"/>
          <w:szCs w:val="24"/>
          <w:lang w:val="sr-Latn-BA"/>
        </w:rPr>
        <w:t xml:space="preserve"> (</w:t>
      </w:r>
      <w:r w:rsidR="00A41DC8" w:rsidRPr="0052611C">
        <w:rPr>
          <w:rFonts w:ascii="Tahoma" w:hAnsi="Tahoma" w:cs="Tahoma"/>
          <w:sz w:val="24"/>
          <w:szCs w:val="24"/>
        </w:rPr>
        <w:t>V</w:t>
      </w:r>
      <w:r w:rsidR="008153C4" w:rsidRPr="0052611C">
        <w:rPr>
          <w:rFonts w:ascii="Tahoma" w:hAnsi="Tahoma" w:cs="Tahoma"/>
          <w:sz w:val="24"/>
          <w:szCs w:val="24"/>
        </w:rPr>
        <w:t>I</w:t>
      </w:r>
      <w:r w:rsidR="005E0301" w:rsidRPr="0052611C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="005E0301" w:rsidRPr="0052611C">
        <w:rPr>
          <w:rFonts w:ascii="Tahoma" w:hAnsi="Tahoma" w:cs="Tahoma"/>
          <w:sz w:val="24"/>
          <w:szCs w:val="24"/>
          <w:lang w:val="sr-Cyrl-CS"/>
        </w:rPr>
        <w:t>1</w:t>
      </w:r>
      <w:r w:rsidR="001A026F" w:rsidRPr="0052611C">
        <w:rPr>
          <w:rFonts w:ascii="Tahoma" w:hAnsi="Tahoma" w:cs="Tahoma"/>
          <w:sz w:val="24"/>
          <w:szCs w:val="24"/>
          <w:lang w:val="sr-Cyrl-CS"/>
        </w:rPr>
        <w:t>1</w:t>
      </w:r>
      <w:r w:rsidR="005E0301" w:rsidRPr="0052611C">
        <w:rPr>
          <w:rFonts w:ascii="Tahoma" w:hAnsi="Tahoma" w:cs="Tahoma"/>
          <w:sz w:val="24"/>
          <w:szCs w:val="24"/>
          <w:lang w:val="sr-Latn-BA"/>
        </w:rPr>
        <w:t>/</w:t>
      </w:r>
      <w:r w:rsidR="005E0301" w:rsidRPr="0052611C">
        <w:rPr>
          <w:rFonts w:ascii="Tahoma" w:hAnsi="Tahoma" w:cs="Tahoma"/>
          <w:bCs/>
          <w:sz w:val="24"/>
          <w:szCs w:val="24"/>
        </w:rPr>
        <w:sym w:font="Symbol" w:char="F0C6"/>
      </w:r>
      <w:r w:rsidR="005E0301" w:rsidRPr="0052611C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="005E0301" w:rsidRPr="0052611C">
        <w:rPr>
          <w:rFonts w:ascii="Tahoma" w:hAnsi="Tahoma" w:cs="Tahoma"/>
          <w:bCs/>
          <w:sz w:val="24"/>
          <w:szCs w:val="24"/>
          <w:lang w:val="ru-RU"/>
        </w:rPr>
        <w:t>20</w:t>
      </w:r>
      <w:r w:rsidR="001A026F" w:rsidRPr="0052611C">
        <w:rPr>
          <w:rFonts w:ascii="Tahoma" w:hAnsi="Tahoma" w:cs="Tahoma"/>
          <w:bCs/>
          <w:sz w:val="24"/>
          <w:szCs w:val="24"/>
          <w:lang w:val="ru-RU"/>
        </w:rPr>
        <w:t>1</w:t>
      </w:r>
      <w:r w:rsidR="005E0301" w:rsidRPr="0052611C">
        <w:rPr>
          <w:rFonts w:ascii="Tahoma" w:hAnsi="Tahoma" w:cs="Tahoma"/>
          <w:bCs/>
          <w:sz w:val="24"/>
          <w:szCs w:val="24"/>
          <w:lang w:val="ru-RU"/>
        </w:rPr>
        <w:t>0</w:t>
      </w:r>
      <w:r w:rsidR="006869EB" w:rsidRPr="0052611C">
        <w:rPr>
          <w:rFonts w:ascii="Tahoma" w:hAnsi="Tahoma" w:cs="Tahoma"/>
          <w:bCs/>
          <w:sz w:val="24"/>
          <w:szCs w:val="24"/>
          <w:lang w:val="ru-RU"/>
        </w:rPr>
        <w:t>.</w:t>
      </w:r>
      <w:r w:rsidR="005E0301" w:rsidRPr="0052611C">
        <w:rPr>
          <w:rFonts w:ascii="Tahoma" w:hAnsi="Tahoma" w:cs="Tahoma"/>
          <w:bCs/>
          <w:sz w:val="24"/>
          <w:szCs w:val="24"/>
          <w:lang w:val="hr-HR"/>
        </w:rPr>
        <w:t>)</w:t>
      </w:r>
      <w:r w:rsidR="005E0301" w:rsidRPr="0052611C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manji</w:t>
      </w:r>
      <w:r w:rsidR="005E0301" w:rsidRPr="0052611C">
        <w:rPr>
          <w:rFonts w:ascii="Tahoma" w:hAnsi="Tahoma" w:cs="Tahoma"/>
          <w:sz w:val="24"/>
          <w:szCs w:val="24"/>
          <w:lang w:val="ru-RU"/>
        </w:rPr>
        <w:t xml:space="preserve"> </w:t>
      </w:r>
      <w:r w:rsidR="0066355A" w:rsidRPr="0052611C">
        <w:rPr>
          <w:rFonts w:ascii="Tahoma" w:hAnsi="Tahoma" w:cs="Tahoma"/>
          <w:sz w:val="24"/>
          <w:szCs w:val="24"/>
          <w:lang w:val="sr-Cyrl-CS"/>
        </w:rPr>
        <w:t>2</w:t>
      </w:r>
      <w:r w:rsidR="005E0301" w:rsidRPr="0052611C">
        <w:rPr>
          <w:rFonts w:ascii="Tahoma" w:hAnsi="Tahoma" w:cs="Tahoma"/>
          <w:sz w:val="24"/>
          <w:szCs w:val="24"/>
          <w:lang w:val="sr-Cyrl-BA"/>
        </w:rPr>
        <w:t>,</w:t>
      </w:r>
      <w:r w:rsidR="008153C4" w:rsidRPr="0052611C">
        <w:rPr>
          <w:rFonts w:ascii="Tahoma" w:hAnsi="Tahoma" w:cs="Tahoma"/>
          <w:sz w:val="24"/>
          <w:szCs w:val="24"/>
          <w:lang w:val="sr-Cyrl-CS"/>
        </w:rPr>
        <w:t>5</w:t>
      </w:r>
      <w:r w:rsidR="005E0301" w:rsidRPr="0052611C">
        <w:rPr>
          <w:rFonts w:ascii="Tahoma" w:hAnsi="Tahoma" w:cs="Tahoma"/>
          <w:sz w:val="24"/>
          <w:szCs w:val="24"/>
          <w:lang w:val="ru-RU"/>
        </w:rPr>
        <w:t>%</w:t>
      </w:r>
    </w:p>
    <w:p w:rsidR="005E0301" w:rsidRPr="0052611C" w:rsidRDefault="005E0301" w:rsidP="005E0301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5E0301" w:rsidRPr="005D5311" w:rsidRDefault="00541DAF" w:rsidP="005E0301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Indeks</w:t>
      </w:r>
      <w:r w:rsidR="005E0301" w:rsidRPr="005D5311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industrijske</w:t>
      </w:r>
      <w:r w:rsidR="005E0301" w:rsidRPr="005D5311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proizvodnje</w:t>
      </w:r>
      <w:r w:rsidR="005E0301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</w:t>
      </w:r>
      <w:r w:rsidR="005E0301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E0301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5E0301" w:rsidRPr="005D5311">
        <w:rPr>
          <w:rFonts w:ascii="Tahoma" w:hAnsi="Tahoma" w:cs="Tahoma"/>
          <w:sz w:val="18"/>
          <w:szCs w:val="18"/>
          <w:lang w:val="ru-RU"/>
        </w:rPr>
        <w:t xml:space="preserve"> 201</w:t>
      </w:r>
      <w:r w:rsidR="00E578C7" w:rsidRPr="005D5311">
        <w:rPr>
          <w:rFonts w:ascii="Tahoma" w:hAnsi="Tahoma" w:cs="Tahoma"/>
          <w:sz w:val="18"/>
          <w:szCs w:val="18"/>
          <w:lang w:val="ru-RU"/>
        </w:rPr>
        <w:t>1</w:t>
      </w:r>
      <w:r w:rsidR="005E0301" w:rsidRPr="005D5311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E0301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E0301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5E0301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5E0301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prosječnu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mjesečnu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proizvodnju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veći</w:t>
      </w:r>
      <w:r w:rsidR="005E0301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E0301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5E0301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>10</w:t>
      </w:r>
      <w:r w:rsidR="005E0301" w:rsidRPr="005D5311">
        <w:rPr>
          <w:rFonts w:ascii="Tahoma" w:hAnsi="Tahoma" w:cs="Tahoma"/>
          <w:sz w:val="18"/>
          <w:szCs w:val="18"/>
          <w:lang w:val="ru-RU"/>
        </w:rPr>
        <w:t>,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>4</w:t>
      </w:r>
      <w:r w:rsidR="005E0301" w:rsidRPr="005D5311">
        <w:rPr>
          <w:rFonts w:ascii="Tahoma" w:hAnsi="Tahoma" w:cs="Tahoma"/>
          <w:sz w:val="18"/>
          <w:szCs w:val="18"/>
          <w:lang w:val="ru-RU"/>
        </w:rPr>
        <w:t>%</w:t>
      </w:r>
      <w:r w:rsidR="008E6F6E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8E6F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8E6F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8E6F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25628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veći</w:t>
      </w:r>
      <w:r w:rsidR="008E6F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8E6F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8E6F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>7</w:t>
      </w:r>
      <w:r w:rsidR="008E6F6E" w:rsidRPr="005D5311">
        <w:rPr>
          <w:rFonts w:ascii="Tahoma" w:hAnsi="Tahoma" w:cs="Tahoma"/>
          <w:sz w:val="18"/>
          <w:szCs w:val="18"/>
          <w:lang w:val="ru-RU"/>
        </w:rPr>
        <w:t>,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>9</w:t>
      </w:r>
      <w:r w:rsidR="008E6F6E" w:rsidRPr="005D5311">
        <w:rPr>
          <w:rFonts w:ascii="Tahoma" w:hAnsi="Tahoma" w:cs="Tahoma"/>
          <w:sz w:val="18"/>
          <w:szCs w:val="18"/>
          <w:lang w:val="ru-RU"/>
        </w:rPr>
        <w:t>%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62127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62127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62127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62127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prethodni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25628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62127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>6</w:t>
      </w:r>
      <w:r w:rsidR="00621277" w:rsidRPr="005D5311">
        <w:rPr>
          <w:rFonts w:ascii="Tahoma" w:hAnsi="Tahoma" w:cs="Tahoma"/>
          <w:sz w:val="18"/>
          <w:szCs w:val="18"/>
          <w:lang w:val="ru-RU"/>
        </w:rPr>
        <w:t>,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>8</w:t>
      </w:r>
      <w:r w:rsidR="00621277" w:rsidRPr="005D5311">
        <w:rPr>
          <w:rFonts w:ascii="Tahoma" w:hAnsi="Tahoma" w:cs="Tahoma"/>
          <w:sz w:val="18"/>
          <w:szCs w:val="18"/>
          <w:lang w:val="ru-RU"/>
        </w:rPr>
        <w:t>%.</w:t>
      </w:r>
    </w:p>
    <w:p w:rsidR="00C42F94" w:rsidRPr="005D5311" w:rsidRDefault="00C42F94" w:rsidP="005E0301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C42F94" w:rsidRPr="005D5311" w:rsidRDefault="00541DAF" w:rsidP="00C42F94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Indeks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industrijske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proizvodnje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AC5FA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>-</w:t>
      </w:r>
      <w:r w:rsidR="00AC5FA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veći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256280" w:rsidRPr="005D5311">
        <w:rPr>
          <w:rFonts w:ascii="Tahoma" w:hAnsi="Tahoma" w:cs="Tahoma"/>
          <w:sz w:val="18"/>
          <w:szCs w:val="18"/>
          <w:lang w:val="sr-Cyrl-BA"/>
        </w:rPr>
        <w:t>3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>,</w:t>
      </w:r>
      <w:r w:rsidR="00256280" w:rsidRPr="005D5311">
        <w:rPr>
          <w:rFonts w:ascii="Tahoma" w:hAnsi="Tahoma" w:cs="Tahoma"/>
          <w:sz w:val="18"/>
          <w:szCs w:val="18"/>
          <w:lang w:val="sr-Cyrl-BA"/>
        </w:rPr>
        <w:t>6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%.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istom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C42F94" w:rsidRPr="005D5311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C42F94" w:rsidRPr="005D5311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42F94" w:rsidRPr="005D5311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C42F94" w:rsidRPr="005D5311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zabilježena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pozitivna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56280" w:rsidRPr="005D5311">
        <w:rPr>
          <w:rFonts w:ascii="Tahoma" w:hAnsi="Tahoma" w:cs="Tahoma"/>
          <w:sz w:val="18"/>
          <w:szCs w:val="18"/>
          <w:lang w:val="sr-Cyrl-CS"/>
        </w:rPr>
        <w:t>23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>,</w:t>
      </w:r>
      <w:r w:rsidR="00256280" w:rsidRPr="005D5311">
        <w:rPr>
          <w:rFonts w:ascii="Tahoma" w:hAnsi="Tahoma" w:cs="Tahoma"/>
          <w:sz w:val="18"/>
          <w:szCs w:val="18"/>
          <w:lang w:val="sr-Cyrl-CS"/>
        </w:rPr>
        <w:t>0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C42F94" w:rsidRPr="005D5311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pozitivna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 w:rsidR="00AC5FA4" w:rsidRPr="005D5311">
        <w:rPr>
          <w:rFonts w:ascii="Tahoma" w:hAnsi="Tahoma" w:cs="Tahoma"/>
          <w:sz w:val="18"/>
          <w:szCs w:val="18"/>
          <w:lang w:val="ru-RU"/>
        </w:rPr>
        <w:t>5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>,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>7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C42F94" w:rsidRPr="005D5311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C42F94" w:rsidRPr="005D5311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C42F94" w:rsidRPr="005D5311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C42F94" w:rsidRPr="005D5311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evidentirana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negativna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-</w:t>
      </w:r>
      <w:r w:rsidR="00256280" w:rsidRPr="005D5311">
        <w:rPr>
          <w:rFonts w:ascii="Tahoma" w:hAnsi="Tahoma" w:cs="Tahoma"/>
          <w:sz w:val="18"/>
          <w:szCs w:val="18"/>
          <w:lang w:val="sr-Cyrl-BA"/>
        </w:rPr>
        <w:t>5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>,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>8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>%.</w:t>
      </w:r>
    </w:p>
    <w:p w:rsidR="006869EB" w:rsidRPr="005D5311" w:rsidRDefault="006869EB" w:rsidP="00C42F94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C42F94" w:rsidRPr="005D5311" w:rsidRDefault="00541DAF" w:rsidP="00C42F94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Posmatrano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ekonomskoj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namjeni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industrijskih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jun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pozitivna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trajnih</w:t>
      </w:r>
      <w:r w:rsidR="008E6F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8E6F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56280" w:rsidRPr="005D5311">
        <w:rPr>
          <w:rFonts w:ascii="Tahoma" w:hAnsi="Tahoma" w:cs="Tahoma"/>
          <w:sz w:val="18"/>
          <w:szCs w:val="18"/>
          <w:lang w:val="sr-Cyrl-CS"/>
        </w:rPr>
        <w:t>36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>,</w:t>
      </w:r>
      <w:r w:rsidR="00256280" w:rsidRPr="005D5311">
        <w:rPr>
          <w:rFonts w:ascii="Tahoma" w:hAnsi="Tahoma" w:cs="Tahoma"/>
          <w:sz w:val="18"/>
          <w:szCs w:val="18"/>
          <w:lang w:val="sr-Cyrl-CS"/>
        </w:rPr>
        <w:t>3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>%</w:t>
      </w:r>
      <w:r w:rsidR="008E6F6E" w:rsidRPr="005D5311">
        <w:rPr>
          <w:rFonts w:ascii="Tahoma" w:hAnsi="Tahoma" w:cs="Tahoma"/>
          <w:sz w:val="18"/>
          <w:szCs w:val="18"/>
          <w:lang w:val="sr-Cyrl-BA"/>
        </w:rPr>
        <w:t>,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intermedijarnih</w:t>
      </w:r>
      <w:r w:rsidR="005D2E6F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5D2E6F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5D2E6F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>9</w:t>
      </w:r>
      <w:r w:rsidR="005D2E6F" w:rsidRPr="005D5311">
        <w:rPr>
          <w:rFonts w:ascii="Tahoma" w:hAnsi="Tahoma" w:cs="Tahoma"/>
          <w:sz w:val="18"/>
          <w:szCs w:val="18"/>
          <w:lang w:val="ru-RU"/>
        </w:rPr>
        <w:t>,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>0</w:t>
      </w:r>
      <w:r w:rsidR="005D2E6F" w:rsidRPr="005D5311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netrajnih</w:t>
      </w:r>
      <w:r w:rsidR="00AC5FA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256280" w:rsidRPr="005D5311">
        <w:rPr>
          <w:rFonts w:ascii="Tahoma" w:hAnsi="Tahoma" w:cs="Tahoma"/>
          <w:sz w:val="18"/>
          <w:szCs w:val="18"/>
          <w:lang w:val="sr-Cyrl-BA"/>
        </w:rPr>
        <w:t>1</w:t>
      </w:r>
      <w:r w:rsidR="008E6F6E" w:rsidRPr="005D5311">
        <w:rPr>
          <w:rFonts w:ascii="Tahoma" w:hAnsi="Tahoma" w:cs="Tahoma"/>
          <w:sz w:val="18"/>
          <w:szCs w:val="18"/>
          <w:lang w:val="sr-Cyrl-BA"/>
        </w:rPr>
        <w:t>,</w:t>
      </w:r>
      <w:r w:rsidR="00256280" w:rsidRPr="005D5311">
        <w:rPr>
          <w:rFonts w:ascii="Tahoma" w:hAnsi="Tahoma" w:cs="Tahoma"/>
          <w:sz w:val="18"/>
          <w:szCs w:val="18"/>
          <w:lang w:val="sr-Cyrl-BA"/>
        </w:rPr>
        <w:t>9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>%</w:t>
      </w:r>
      <w:r w:rsidR="005D2E6F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42F94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energije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8E6F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 w:rsidR="00AC5FA4" w:rsidRPr="005D5311">
        <w:rPr>
          <w:rFonts w:ascii="Tahoma" w:hAnsi="Tahoma" w:cs="Tahoma"/>
          <w:sz w:val="18"/>
          <w:szCs w:val="18"/>
          <w:lang w:val="ru-RU"/>
        </w:rPr>
        <w:t>0</w:t>
      </w:r>
      <w:r w:rsidR="00C42F94" w:rsidRPr="005D5311">
        <w:rPr>
          <w:rFonts w:ascii="Tahoma" w:hAnsi="Tahoma" w:cs="Tahoma"/>
          <w:sz w:val="18"/>
          <w:szCs w:val="18"/>
          <w:lang w:val="sr-Cyrl-CS"/>
        </w:rPr>
        <w:t>,</w:t>
      </w:r>
      <w:r w:rsidR="00256280" w:rsidRPr="005D5311">
        <w:rPr>
          <w:rFonts w:ascii="Tahoma" w:hAnsi="Tahoma" w:cs="Tahoma"/>
          <w:sz w:val="18"/>
          <w:szCs w:val="18"/>
          <w:lang w:val="sr-Cyrl-CS"/>
        </w:rPr>
        <w:t>1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>%</w:t>
      </w:r>
      <w:r w:rsidR="005D2E6F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5D2E6F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D2E6F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evidentirana</w:t>
      </w:r>
      <w:r w:rsidR="005D2E6F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negativna</w:t>
      </w:r>
      <w:r w:rsidR="005D2E6F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stopa</w:t>
      </w:r>
      <w:r w:rsidR="005D2E6F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promjene</w:t>
      </w:r>
      <w:r w:rsidR="005D2E6F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kapitalnih</w:t>
      </w:r>
      <w:r w:rsidR="0025628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5D2E6F" w:rsidRPr="005D5311">
        <w:rPr>
          <w:rFonts w:ascii="Tahoma" w:hAnsi="Tahoma" w:cs="Tahoma"/>
          <w:sz w:val="18"/>
          <w:szCs w:val="18"/>
          <w:lang w:val="ru-RU"/>
        </w:rPr>
        <w:t xml:space="preserve"> -0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>,</w:t>
      </w:r>
      <w:r w:rsidR="00256280" w:rsidRPr="005D5311">
        <w:rPr>
          <w:rFonts w:ascii="Tahoma" w:hAnsi="Tahoma" w:cs="Tahoma"/>
          <w:sz w:val="18"/>
          <w:szCs w:val="18"/>
          <w:lang w:val="ru-RU"/>
        </w:rPr>
        <w:t>3</w:t>
      </w:r>
      <w:r w:rsidR="00C42F94" w:rsidRPr="005D5311">
        <w:rPr>
          <w:rFonts w:ascii="Tahoma" w:hAnsi="Tahoma" w:cs="Tahoma"/>
          <w:sz w:val="18"/>
          <w:szCs w:val="18"/>
          <w:lang w:val="ru-RU"/>
        </w:rPr>
        <w:t>%.</w:t>
      </w:r>
    </w:p>
    <w:p w:rsidR="00F30813" w:rsidRPr="005D5311" w:rsidRDefault="00F30813" w:rsidP="005E030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029D8" w:rsidRPr="005D5311" w:rsidRDefault="00541DAF" w:rsidP="005029D8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Broj</w:t>
      </w:r>
      <w:r w:rsidR="005029D8" w:rsidRPr="005D5311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zaposlenih</w:t>
      </w:r>
      <w:r w:rsidR="005029D8" w:rsidRPr="005D5311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u</w:t>
      </w:r>
      <w:r w:rsidR="005029D8" w:rsidRPr="005D5311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industriji</w:t>
      </w:r>
      <w:r w:rsidR="005029D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31EF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maj</w:t>
      </w:r>
      <w:r w:rsidR="00431EFB" w:rsidRPr="005D5311">
        <w:rPr>
          <w:rFonts w:ascii="Tahoma" w:hAnsi="Tahoma" w:cs="Tahoma"/>
          <w:sz w:val="18"/>
          <w:szCs w:val="18"/>
          <w:lang w:val="sr-Cyrl-CS"/>
        </w:rPr>
        <w:t xml:space="preserve"> 2011.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veći</w:t>
      </w:r>
      <w:r w:rsidR="0066355A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66355A" w:rsidRPr="005D5311">
        <w:rPr>
          <w:rFonts w:ascii="Tahoma" w:hAnsi="Tahoma" w:cs="Tahoma"/>
          <w:sz w:val="18"/>
          <w:szCs w:val="18"/>
          <w:lang w:val="ru-RU"/>
        </w:rPr>
        <w:t xml:space="preserve"> 0,</w:t>
      </w:r>
      <w:r w:rsidR="008153C4" w:rsidRPr="005D5311">
        <w:rPr>
          <w:rFonts w:ascii="Tahoma" w:hAnsi="Tahoma" w:cs="Tahoma"/>
          <w:sz w:val="18"/>
          <w:szCs w:val="18"/>
          <w:lang w:val="ru-RU"/>
        </w:rPr>
        <w:t>4</w:t>
      </w:r>
      <w:r w:rsidR="0066355A" w:rsidRPr="005D5311">
        <w:rPr>
          <w:rFonts w:ascii="Tahoma" w:hAnsi="Tahoma" w:cs="Tahoma"/>
          <w:sz w:val="18"/>
          <w:szCs w:val="18"/>
          <w:lang w:val="ru-RU"/>
        </w:rPr>
        <w:t>%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>.</w:t>
      </w:r>
    </w:p>
    <w:p w:rsidR="005029D8" w:rsidRPr="005D5311" w:rsidRDefault="005029D8" w:rsidP="005029D8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5029D8" w:rsidRPr="005D5311" w:rsidRDefault="00541DAF" w:rsidP="005029D8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CS"/>
        </w:rPr>
        <w:t>Ukupan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industriji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5029D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5029D8" w:rsidRPr="005D5311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jun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poređenju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istim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periodom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manji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6355A" w:rsidRPr="005D5311">
        <w:rPr>
          <w:rFonts w:ascii="Tahoma" w:hAnsi="Tahoma" w:cs="Tahoma"/>
          <w:sz w:val="18"/>
          <w:szCs w:val="18"/>
          <w:lang w:val="sr-Cyrl-CS"/>
        </w:rPr>
        <w:t>1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>,</w:t>
      </w:r>
      <w:r w:rsidR="008153C4" w:rsidRPr="005D5311">
        <w:rPr>
          <w:rFonts w:ascii="Tahoma" w:hAnsi="Tahoma" w:cs="Tahoma"/>
          <w:sz w:val="18"/>
          <w:szCs w:val="18"/>
          <w:lang w:val="sr-Cyrl-CS"/>
        </w:rPr>
        <w:t>3</w:t>
      </w:r>
      <w:r w:rsidR="005029D8" w:rsidRPr="005D5311">
        <w:rPr>
          <w:rFonts w:ascii="Tahoma" w:hAnsi="Tahoma" w:cs="Tahoma"/>
          <w:sz w:val="18"/>
          <w:szCs w:val="18"/>
          <w:lang w:val="sr-Cyrl-CS"/>
        </w:rPr>
        <w:t>%</w:t>
      </w:r>
      <w:r w:rsidR="005029D8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pri</w:t>
      </w:r>
      <w:r w:rsidR="005029D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čemu</w:t>
      </w:r>
      <w:r w:rsidR="005029D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029D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31EF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431EF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431EFB" w:rsidRPr="005D5311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431EFB" w:rsidRPr="005D5311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431EFB" w:rsidRPr="005D5311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431EF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</w:t>
      </w:r>
      <w:r w:rsidR="00431EF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431EF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431EF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249E3" w:rsidRPr="005D5311">
        <w:rPr>
          <w:rFonts w:ascii="Tahoma" w:hAnsi="Tahoma" w:cs="Tahoma"/>
          <w:sz w:val="18"/>
          <w:szCs w:val="18"/>
          <w:lang w:val="sr-Cyrl-CS"/>
        </w:rPr>
        <w:t>3</w:t>
      </w:r>
      <w:r w:rsidR="00431EFB" w:rsidRPr="005D5311">
        <w:rPr>
          <w:rFonts w:ascii="Tahoma" w:hAnsi="Tahoma" w:cs="Tahoma"/>
          <w:sz w:val="18"/>
          <w:szCs w:val="18"/>
          <w:lang w:val="sr-Cyrl-CS"/>
        </w:rPr>
        <w:t>,</w:t>
      </w:r>
      <w:r w:rsidR="008153C4" w:rsidRPr="005D5311">
        <w:rPr>
          <w:rFonts w:ascii="Tahoma" w:hAnsi="Tahoma" w:cs="Tahoma"/>
          <w:sz w:val="18"/>
          <w:szCs w:val="18"/>
          <w:lang w:val="sr-Cyrl-CS"/>
        </w:rPr>
        <w:t>6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029D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5A2DAC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 w:rsidR="005029D8" w:rsidRPr="005D5311">
        <w:rPr>
          <w:rFonts w:ascii="Tahoma" w:hAnsi="Tahoma" w:cs="Tahoma"/>
          <w:sz w:val="18"/>
          <w:szCs w:val="18"/>
          <w:lang w:val="ru-RU"/>
        </w:rPr>
        <w:t xml:space="preserve">-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5029D8" w:rsidRPr="005D5311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5029D8" w:rsidRPr="005D5311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5029D8" w:rsidRPr="005D5311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5029D8" w:rsidRPr="005D5311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5029D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rast</w:t>
      </w:r>
      <w:r w:rsidR="00C249E3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431EFB" w:rsidRPr="005D5311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>,</w:t>
      </w:r>
      <w:r w:rsidR="008153C4" w:rsidRPr="005D5311">
        <w:rPr>
          <w:rFonts w:ascii="Tahoma" w:hAnsi="Tahoma" w:cs="Tahoma"/>
          <w:sz w:val="18"/>
          <w:szCs w:val="18"/>
          <w:lang w:val="ru-RU"/>
        </w:rPr>
        <w:t>4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431EFB" w:rsidRPr="005D5311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pad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broja</w:t>
      </w:r>
      <w:r w:rsidR="00431EF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431EFB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 w:rsidR="0066355A" w:rsidRPr="005D5311">
        <w:rPr>
          <w:rFonts w:ascii="Tahoma" w:hAnsi="Tahoma" w:cs="Tahoma"/>
          <w:sz w:val="18"/>
          <w:szCs w:val="18"/>
          <w:lang w:val="ru-RU"/>
        </w:rPr>
        <w:t>2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>,</w:t>
      </w:r>
      <w:r w:rsidR="008153C4" w:rsidRPr="005D5311">
        <w:rPr>
          <w:rFonts w:ascii="Tahoma" w:hAnsi="Tahoma" w:cs="Tahoma"/>
          <w:sz w:val="18"/>
          <w:szCs w:val="18"/>
          <w:lang w:val="ru-RU"/>
        </w:rPr>
        <w:t>3</w:t>
      </w:r>
      <w:r w:rsidR="00431EFB" w:rsidRPr="005D5311">
        <w:rPr>
          <w:rFonts w:ascii="Tahoma" w:hAnsi="Tahoma" w:cs="Tahoma"/>
          <w:sz w:val="18"/>
          <w:szCs w:val="18"/>
          <w:lang w:val="ru-RU"/>
        </w:rPr>
        <w:t xml:space="preserve">%. </w:t>
      </w:r>
    </w:p>
    <w:p w:rsidR="0017306E" w:rsidRPr="0052611C" w:rsidRDefault="0017306E" w:rsidP="005E0301">
      <w:pPr>
        <w:rPr>
          <w:rFonts w:ascii="Tahoma" w:hAnsi="Tahoma" w:cs="Tahoma"/>
          <w:sz w:val="16"/>
          <w:szCs w:val="16"/>
          <w:lang w:val="ru-RU"/>
        </w:rPr>
      </w:pPr>
    </w:p>
    <w:p w:rsidR="0017306E" w:rsidRPr="0052611C" w:rsidRDefault="0017306E" w:rsidP="005E0301">
      <w:pPr>
        <w:rPr>
          <w:rFonts w:ascii="Tahoma" w:hAnsi="Tahoma" w:cs="Tahoma"/>
          <w:sz w:val="16"/>
          <w:szCs w:val="16"/>
          <w:lang w:val="ru-RU"/>
        </w:rPr>
      </w:pPr>
    </w:p>
    <w:p w:rsidR="00AD4418" w:rsidRPr="0052611C" w:rsidRDefault="00AD4418" w:rsidP="005E0301">
      <w:pPr>
        <w:rPr>
          <w:rFonts w:ascii="Tahoma" w:hAnsi="Tahoma" w:cs="Tahoma"/>
          <w:sz w:val="16"/>
          <w:szCs w:val="16"/>
          <w:lang w:val="ru-RU"/>
        </w:rPr>
      </w:pPr>
    </w:p>
    <w:p w:rsidR="0017306E" w:rsidRPr="0052611C" w:rsidRDefault="00541DAF" w:rsidP="001730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bs-Cyrl-BA"/>
        </w:rPr>
        <w:t>P</w:t>
      </w:r>
      <w:r>
        <w:rPr>
          <w:rFonts w:ascii="Tahoma" w:hAnsi="Tahoma" w:cs="Tahoma"/>
          <w:b/>
          <w:sz w:val="28"/>
          <w:szCs w:val="28"/>
          <w:lang w:val="ru-RU"/>
        </w:rPr>
        <w:t>okrivenost</w:t>
      </w:r>
      <w:r w:rsidR="0017306E" w:rsidRPr="005261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uvoza</w:t>
      </w:r>
      <w:r w:rsidR="0017306E" w:rsidRPr="005261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izvozom</w:t>
      </w:r>
      <w:r w:rsidR="00B61FD5" w:rsidRPr="0052611C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B61FD5" w:rsidRPr="005261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periodu</w:t>
      </w:r>
      <w:r w:rsidR="00B61FD5" w:rsidRPr="005261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B61FD5" w:rsidRPr="0052611C">
        <w:rPr>
          <w:rFonts w:ascii="Tahoma" w:hAnsi="Tahoma" w:cs="Tahoma"/>
          <w:b/>
          <w:sz w:val="28"/>
          <w:szCs w:val="28"/>
        </w:rPr>
        <w:t>I</w:t>
      </w:r>
      <w:r w:rsidR="00B61FD5" w:rsidRPr="0052611C">
        <w:rPr>
          <w:rFonts w:ascii="Tahoma" w:hAnsi="Tahoma" w:cs="Tahoma"/>
          <w:b/>
          <w:sz w:val="28"/>
          <w:szCs w:val="28"/>
          <w:lang w:val="ru-RU"/>
        </w:rPr>
        <w:t xml:space="preserve"> – </w:t>
      </w:r>
      <w:r w:rsidR="00781CEE" w:rsidRPr="0052611C">
        <w:rPr>
          <w:rFonts w:ascii="Tahoma" w:hAnsi="Tahoma" w:cs="Tahoma"/>
          <w:b/>
          <w:sz w:val="28"/>
          <w:szCs w:val="28"/>
        </w:rPr>
        <w:t>V</w:t>
      </w:r>
      <w:r w:rsidR="00E9755F" w:rsidRPr="0052611C">
        <w:rPr>
          <w:rFonts w:ascii="Tahoma" w:hAnsi="Tahoma" w:cs="Tahoma"/>
          <w:b/>
          <w:sz w:val="28"/>
          <w:szCs w:val="28"/>
        </w:rPr>
        <w:t>I</w:t>
      </w:r>
      <w:r w:rsidR="00B61FD5" w:rsidRPr="0052611C">
        <w:rPr>
          <w:rFonts w:ascii="Tahoma" w:hAnsi="Tahoma" w:cs="Tahoma"/>
          <w:b/>
          <w:sz w:val="28"/>
          <w:szCs w:val="28"/>
          <w:lang w:val="ru-RU"/>
        </w:rPr>
        <w:t xml:space="preserve"> 2011.</w:t>
      </w:r>
      <w:r w:rsidR="00B61FD5" w:rsidRPr="0052611C">
        <w:rPr>
          <w:rFonts w:ascii="Tahoma" w:hAnsi="Tahoma" w:cs="Tahoma"/>
          <w:b/>
          <w:sz w:val="28"/>
          <w:szCs w:val="28"/>
          <w:lang w:val="sr-Cyrl-BA"/>
        </w:rPr>
        <w:t>)</w:t>
      </w:r>
      <w:r w:rsidR="00B61FD5" w:rsidRPr="0052611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E9755F" w:rsidRPr="0052611C">
        <w:rPr>
          <w:rFonts w:ascii="Tahoma" w:hAnsi="Tahoma" w:cs="Tahoma"/>
          <w:b/>
          <w:sz w:val="28"/>
          <w:szCs w:val="28"/>
          <w:lang w:val="hr-HR"/>
        </w:rPr>
        <w:t>57</w:t>
      </w:r>
      <w:r w:rsidR="005E1630" w:rsidRPr="0052611C">
        <w:rPr>
          <w:rFonts w:ascii="Tahoma" w:hAnsi="Tahoma" w:cs="Tahoma"/>
          <w:b/>
          <w:sz w:val="28"/>
          <w:szCs w:val="28"/>
          <w:lang w:val="ru-RU"/>
        </w:rPr>
        <w:t>,</w:t>
      </w:r>
      <w:r w:rsidR="00E9755F" w:rsidRPr="0052611C">
        <w:rPr>
          <w:rFonts w:ascii="Tahoma" w:hAnsi="Tahoma" w:cs="Tahoma"/>
          <w:b/>
          <w:sz w:val="28"/>
          <w:szCs w:val="28"/>
        </w:rPr>
        <w:t>8</w:t>
      </w:r>
      <w:r w:rsidR="005E1630" w:rsidRPr="0052611C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17306E" w:rsidRPr="0052611C" w:rsidRDefault="00541DAF" w:rsidP="001730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sr-Cyrl-CS"/>
        </w:rPr>
        <w:t>Izvoz</w:t>
      </w:r>
      <w:r w:rsidR="0017306E" w:rsidRPr="0052611C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17306E" w:rsidRPr="0052611C">
        <w:rPr>
          <w:rFonts w:ascii="Tahoma" w:hAnsi="Tahoma" w:cs="Tahoma"/>
          <w:sz w:val="24"/>
          <w:szCs w:val="24"/>
          <w:lang w:val="hr-HR"/>
        </w:rPr>
        <w:t>(I</w:t>
      </w:r>
      <w:r w:rsidR="004A3DCE" w:rsidRPr="0052611C">
        <w:rPr>
          <w:rFonts w:ascii="Tahoma" w:hAnsi="Tahoma" w:cs="Tahoma"/>
          <w:sz w:val="24"/>
          <w:szCs w:val="24"/>
          <w:lang w:val="hr-HR"/>
        </w:rPr>
        <w:t>-</w:t>
      </w:r>
      <w:r w:rsidR="00781CEE" w:rsidRPr="0052611C">
        <w:rPr>
          <w:rFonts w:ascii="Tahoma" w:hAnsi="Tahoma" w:cs="Tahoma"/>
          <w:sz w:val="24"/>
          <w:szCs w:val="24"/>
          <w:lang w:val="hr-HR"/>
        </w:rPr>
        <w:t>V</w:t>
      </w:r>
      <w:r w:rsidR="00E9755F" w:rsidRPr="0052611C">
        <w:rPr>
          <w:rFonts w:ascii="Tahoma" w:hAnsi="Tahoma" w:cs="Tahoma"/>
          <w:sz w:val="24"/>
          <w:szCs w:val="24"/>
          <w:lang w:val="hr-HR"/>
        </w:rPr>
        <w:t>I</w:t>
      </w:r>
      <w:r w:rsidR="0017306E" w:rsidRPr="0052611C">
        <w:rPr>
          <w:rFonts w:ascii="Tahoma" w:hAnsi="Tahoma" w:cs="Tahoma"/>
          <w:sz w:val="24"/>
          <w:szCs w:val="24"/>
          <w:lang w:val="hr-HR"/>
        </w:rPr>
        <w:t xml:space="preserve"> 2011/I</w:t>
      </w:r>
      <w:r w:rsidR="004A3DCE" w:rsidRPr="0052611C">
        <w:rPr>
          <w:rFonts w:ascii="Tahoma" w:hAnsi="Tahoma" w:cs="Tahoma"/>
          <w:sz w:val="24"/>
          <w:szCs w:val="24"/>
          <w:lang w:val="hr-HR"/>
        </w:rPr>
        <w:t>-</w:t>
      </w:r>
      <w:r w:rsidR="00781CEE" w:rsidRPr="0052611C">
        <w:rPr>
          <w:rFonts w:ascii="Tahoma" w:hAnsi="Tahoma" w:cs="Tahoma"/>
          <w:sz w:val="24"/>
          <w:szCs w:val="24"/>
          <w:lang w:val="hr-HR"/>
        </w:rPr>
        <w:t>V</w:t>
      </w:r>
      <w:r w:rsidR="00E9755F" w:rsidRPr="0052611C">
        <w:rPr>
          <w:rFonts w:ascii="Tahoma" w:hAnsi="Tahoma" w:cs="Tahoma"/>
          <w:sz w:val="24"/>
          <w:szCs w:val="24"/>
          <w:lang w:val="hr-HR"/>
        </w:rPr>
        <w:t>I</w:t>
      </w:r>
      <w:r w:rsidR="0017306E" w:rsidRPr="0052611C">
        <w:rPr>
          <w:rFonts w:ascii="Tahoma" w:hAnsi="Tahoma" w:cs="Tahoma"/>
          <w:sz w:val="24"/>
          <w:szCs w:val="24"/>
          <w:lang w:val="hr-HR"/>
        </w:rPr>
        <w:t xml:space="preserve"> 2010</w:t>
      </w:r>
      <w:r w:rsidR="002F67AB" w:rsidRPr="0052611C">
        <w:rPr>
          <w:rFonts w:ascii="Tahoma" w:hAnsi="Tahoma" w:cs="Tahoma"/>
          <w:sz w:val="24"/>
          <w:szCs w:val="24"/>
          <w:lang w:val="sr-Cyrl-CS"/>
        </w:rPr>
        <w:t>.</w:t>
      </w:r>
      <w:r w:rsidR="0017306E" w:rsidRPr="0052611C">
        <w:rPr>
          <w:rFonts w:ascii="Tahoma" w:hAnsi="Tahoma" w:cs="Tahoma"/>
          <w:sz w:val="24"/>
          <w:szCs w:val="24"/>
          <w:lang w:val="hr-HR"/>
        </w:rPr>
        <w:t xml:space="preserve">) </w:t>
      </w:r>
      <w:r>
        <w:rPr>
          <w:rFonts w:ascii="Tahoma" w:hAnsi="Tahoma" w:cs="Tahoma"/>
          <w:sz w:val="24"/>
          <w:szCs w:val="24"/>
          <w:lang w:val="sr-Cyrl-BA"/>
        </w:rPr>
        <w:t>povećan</w:t>
      </w:r>
      <w:r w:rsidR="0017306E" w:rsidRPr="0052611C">
        <w:rPr>
          <w:rFonts w:ascii="Tahoma" w:hAnsi="Tahoma" w:cs="Tahoma"/>
          <w:sz w:val="24"/>
          <w:szCs w:val="24"/>
          <w:lang w:val="sr-Cyrl-BA"/>
        </w:rPr>
        <w:t xml:space="preserve"> </w:t>
      </w:r>
      <w:r w:rsidR="00B040ED" w:rsidRPr="0052611C">
        <w:rPr>
          <w:rFonts w:ascii="Tahoma" w:hAnsi="Tahoma" w:cs="Tahoma"/>
          <w:sz w:val="24"/>
          <w:szCs w:val="24"/>
        </w:rPr>
        <w:t>1</w:t>
      </w:r>
      <w:r w:rsidR="004A3DCE" w:rsidRPr="0052611C">
        <w:rPr>
          <w:rFonts w:ascii="Tahoma" w:hAnsi="Tahoma" w:cs="Tahoma"/>
          <w:sz w:val="24"/>
          <w:szCs w:val="24"/>
        </w:rPr>
        <w:t>6</w:t>
      </w:r>
      <w:r w:rsidR="0017306E" w:rsidRPr="0052611C">
        <w:rPr>
          <w:rFonts w:ascii="Tahoma" w:hAnsi="Tahoma" w:cs="Tahoma"/>
          <w:sz w:val="24"/>
          <w:szCs w:val="24"/>
          <w:lang w:val="ru-RU"/>
        </w:rPr>
        <w:t>,</w:t>
      </w:r>
      <w:r w:rsidR="00E9755F" w:rsidRPr="0052611C">
        <w:rPr>
          <w:rFonts w:ascii="Tahoma" w:hAnsi="Tahoma" w:cs="Tahoma"/>
          <w:sz w:val="24"/>
          <w:szCs w:val="24"/>
        </w:rPr>
        <w:t>0</w:t>
      </w:r>
      <w:r w:rsidR="0017306E" w:rsidRPr="0052611C">
        <w:rPr>
          <w:rFonts w:ascii="Tahoma" w:hAnsi="Tahoma" w:cs="Tahoma"/>
          <w:sz w:val="24"/>
          <w:szCs w:val="24"/>
          <w:lang w:val="ru-RU"/>
        </w:rPr>
        <w:t>%</w:t>
      </w:r>
    </w:p>
    <w:p w:rsidR="0017306E" w:rsidRPr="0052611C" w:rsidRDefault="0017306E" w:rsidP="001730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6A5F98" w:rsidRPr="005D5311" w:rsidRDefault="00541DAF" w:rsidP="006A5F9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okviru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211CC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>
        <w:rPr>
          <w:rFonts w:ascii="Tahoma" w:hAnsi="Tahoma" w:cs="Tahoma"/>
          <w:sz w:val="18"/>
          <w:szCs w:val="18"/>
          <w:lang w:val="bs-Cyrl-BA"/>
        </w:rPr>
        <w:t>e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robne</w:t>
      </w:r>
      <w:r w:rsidR="00211CC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razmjene</w:t>
      </w:r>
      <w:r w:rsidR="00211CC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</w:t>
      </w:r>
      <w:r>
        <w:rPr>
          <w:rFonts w:ascii="Tahoma" w:hAnsi="Tahoma" w:cs="Tahoma"/>
          <w:sz w:val="18"/>
          <w:szCs w:val="18"/>
          <w:lang w:val="bs-Cyrl-BA"/>
        </w:rPr>
        <w:t>epublike</w:t>
      </w:r>
      <w:r w:rsidR="0017306E" w:rsidRPr="005D5311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Srpske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211CC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inostranstvom</w:t>
      </w:r>
      <w:r w:rsidR="00211CC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junu</w:t>
      </w:r>
      <w:r w:rsidR="00781CE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ove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procenat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pokrivenosti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izvozom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iznosio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E9755F" w:rsidRPr="005D5311">
        <w:rPr>
          <w:rFonts w:ascii="Tahoma" w:hAnsi="Tahoma" w:cs="Tahoma"/>
          <w:sz w:val="18"/>
          <w:szCs w:val="18"/>
          <w:lang w:val="sr-Cyrl-BA"/>
        </w:rPr>
        <w:t>48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>,</w:t>
      </w:r>
      <w:r w:rsidR="00E9755F" w:rsidRPr="005D5311">
        <w:rPr>
          <w:rFonts w:ascii="Tahoma" w:hAnsi="Tahoma" w:cs="Tahoma"/>
          <w:sz w:val="18"/>
          <w:szCs w:val="18"/>
          <w:lang w:val="sr-Cyrl-BA"/>
        </w:rPr>
        <w:t>9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>%.</w:t>
      </w:r>
      <w:r w:rsidR="006A5F9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A5F9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junu</w:t>
      </w:r>
      <w:r w:rsidR="004A3DC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5F98" w:rsidRPr="005D5311">
        <w:rPr>
          <w:rFonts w:ascii="Tahoma" w:hAnsi="Tahoma" w:cs="Tahoma"/>
          <w:sz w:val="18"/>
          <w:szCs w:val="18"/>
          <w:lang w:val="sr-Cyrl-BA"/>
        </w:rPr>
        <w:t xml:space="preserve">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6A5F98" w:rsidRPr="005D531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 w:rsidR="006A5F9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6A5F9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</w:t>
      </w:r>
      <w:r w:rsidR="006A5F9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A5F9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6A5F98" w:rsidRPr="005D5311">
        <w:rPr>
          <w:rFonts w:ascii="Tahoma" w:hAnsi="Tahoma" w:cs="Tahoma"/>
          <w:sz w:val="18"/>
          <w:szCs w:val="18"/>
          <w:lang w:val="sr-Cyrl-BA"/>
        </w:rPr>
        <w:t xml:space="preserve"> 2</w:t>
      </w:r>
      <w:r w:rsidR="00E9755F" w:rsidRPr="005D5311">
        <w:rPr>
          <w:rFonts w:ascii="Tahoma" w:hAnsi="Tahoma" w:cs="Tahoma"/>
          <w:sz w:val="18"/>
          <w:szCs w:val="18"/>
          <w:lang w:val="sr-Cyrl-BA"/>
        </w:rPr>
        <w:t>29</w:t>
      </w:r>
      <w:r w:rsidR="006A5F9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E9755F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E9755F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9755F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</w:t>
      </w:r>
      <w:r w:rsidR="00E9755F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9755F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E9755F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E9755F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4A3DCE" w:rsidRPr="005D5311">
        <w:rPr>
          <w:rFonts w:ascii="Tahoma" w:hAnsi="Tahoma" w:cs="Tahoma"/>
          <w:sz w:val="18"/>
          <w:szCs w:val="18"/>
          <w:lang w:val="sr-Cyrl-BA"/>
        </w:rPr>
        <w:t>4</w:t>
      </w:r>
      <w:r w:rsidR="00E9755F" w:rsidRPr="005D5311">
        <w:rPr>
          <w:rFonts w:ascii="Tahoma" w:hAnsi="Tahoma" w:cs="Tahoma"/>
          <w:sz w:val="18"/>
          <w:szCs w:val="18"/>
          <w:lang w:val="sr-Cyrl-BA"/>
        </w:rPr>
        <w:t>68</w:t>
      </w:r>
      <w:r w:rsidR="006A5F9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6A5F9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6A5F98" w:rsidRPr="005D5311">
        <w:rPr>
          <w:rFonts w:ascii="Tahoma" w:hAnsi="Tahoma" w:cs="Tahoma"/>
          <w:sz w:val="18"/>
          <w:szCs w:val="18"/>
          <w:lang w:val="sr-Cyrl-BA"/>
        </w:rPr>
        <w:t>.</w:t>
      </w:r>
    </w:p>
    <w:p w:rsidR="0017306E" w:rsidRPr="005D5311" w:rsidRDefault="0017306E" w:rsidP="001730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5D5311" w:rsidRDefault="00541DAF" w:rsidP="0017306E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B61FD5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B61FD5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B040ED" w:rsidRPr="005D5311">
        <w:rPr>
          <w:rFonts w:ascii="Tahoma" w:hAnsi="Tahoma" w:cs="Tahoma"/>
          <w:sz w:val="18"/>
          <w:szCs w:val="18"/>
          <w:lang w:val="sr-Cyrl-BA"/>
        </w:rPr>
        <w:t>–</w:t>
      </w:r>
      <w:r w:rsidR="00B61FD5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</w:t>
      </w:r>
      <w:r w:rsidR="00B040ED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A3DC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milijardu</w:t>
      </w:r>
      <w:r w:rsidR="004A3DC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A23800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9755F" w:rsidRPr="005D5311">
        <w:rPr>
          <w:rFonts w:ascii="Tahoma" w:hAnsi="Tahoma" w:cs="Tahoma"/>
          <w:sz w:val="18"/>
          <w:szCs w:val="18"/>
          <w:lang w:val="sr-Cyrl-CS"/>
        </w:rPr>
        <w:t>230</w:t>
      </w:r>
      <w:r w:rsidR="00B040ED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</w:t>
      </w:r>
      <w:r w:rsidR="00B61FD5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B61FD5" w:rsidRPr="005D531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B61FD5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61FD5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1FD5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040ED" w:rsidRPr="005D5311">
        <w:rPr>
          <w:rFonts w:ascii="Tahoma" w:hAnsi="Tahoma" w:cs="Tahoma"/>
          <w:sz w:val="18"/>
          <w:szCs w:val="18"/>
          <w:lang w:val="sr-Cyrl-CS"/>
        </w:rPr>
        <w:t>1</w:t>
      </w:r>
      <w:r w:rsidR="004A3DCE" w:rsidRPr="005D5311">
        <w:rPr>
          <w:rFonts w:ascii="Tahoma" w:hAnsi="Tahoma" w:cs="Tahoma"/>
          <w:sz w:val="18"/>
          <w:szCs w:val="18"/>
          <w:lang w:val="sr-Cyrl-CS"/>
        </w:rPr>
        <w:t>6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>,</w:t>
      </w:r>
      <w:r w:rsidR="00E9755F" w:rsidRPr="005D5311">
        <w:rPr>
          <w:rFonts w:ascii="Tahoma" w:hAnsi="Tahoma" w:cs="Tahoma"/>
          <w:sz w:val="18"/>
          <w:szCs w:val="18"/>
          <w:lang w:val="sr-Cyrl-CS"/>
        </w:rPr>
        <w:t>0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Uvoz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iznosio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9755F" w:rsidRPr="005D5311">
        <w:rPr>
          <w:rFonts w:ascii="Tahoma" w:hAnsi="Tahoma" w:cs="Tahoma"/>
          <w:sz w:val="18"/>
          <w:szCs w:val="18"/>
          <w:lang w:val="sr-Cyrl-CS"/>
        </w:rPr>
        <w:t xml:space="preserve">2 </w:t>
      </w:r>
      <w:r>
        <w:rPr>
          <w:rFonts w:ascii="Tahoma" w:hAnsi="Tahoma" w:cs="Tahoma"/>
          <w:sz w:val="18"/>
          <w:szCs w:val="18"/>
          <w:lang w:val="sr-Cyrl-CS"/>
        </w:rPr>
        <w:t>milijarde</w:t>
      </w:r>
      <w:r w:rsidR="004A3DC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9755F" w:rsidRPr="005D5311">
        <w:rPr>
          <w:rFonts w:ascii="Tahoma" w:hAnsi="Tahoma" w:cs="Tahoma"/>
          <w:sz w:val="18"/>
          <w:szCs w:val="18"/>
          <w:lang w:val="sr-Cyrl-CS"/>
        </w:rPr>
        <w:t xml:space="preserve">128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B61FD5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B61FD5" w:rsidRPr="005D531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B61FD5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61FD5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1FD5" w:rsidRPr="005D5311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E9755F" w:rsidRPr="005D5311">
        <w:rPr>
          <w:rFonts w:ascii="Tahoma" w:hAnsi="Tahoma" w:cs="Tahoma"/>
          <w:sz w:val="18"/>
          <w:szCs w:val="18"/>
          <w:lang w:val="sr-Cyrl-CS"/>
        </w:rPr>
        <w:t>5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>,</w:t>
      </w:r>
      <w:r w:rsidR="00E9755F" w:rsidRPr="005D5311">
        <w:rPr>
          <w:rFonts w:ascii="Tahoma" w:hAnsi="Tahoma" w:cs="Tahoma"/>
          <w:sz w:val="18"/>
          <w:szCs w:val="18"/>
          <w:lang w:val="sr-Cyrl-CS"/>
        </w:rPr>
        <w:t>8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</w:t>
      </w:r>
      <w:r w:rsidR="00B61FD5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>.</w:t>
      </w:r>
    </w:p>
    <w:p w:rsidR="0017306E" w:rsidRPr="005D5311" w:rsidRDefault="0017306E" w:rsidP="001730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5D5311" w:rsidRDefault="00541DAF" w:rsidP="005A5086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Procenat</w:t>
      </w:r>
      <w:r w:rsidR="00B61FD5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pokrivenosti</w:t>
      </w:r>
      <w:r w:rsidR="00B61FD5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uvoza</w:t>
      </w:r>
      <w:r w:rsidR="00B61FD5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izvozom</w:t>
      </w:r>
      <w:r w:rsidR="00B61FD5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B61FD5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prvih</w:t>
      </w:r>
      <w:r w:rsidR="005E0F42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bs-Cyrl-BA"/>
        </w:rPr>
        <w:t>šes</w:t>
      </w:r>
      <w:r>
        <w:rPr>
          <w:rFonts w:ascii="Tahoma" w:hAnsi="Tahoma" w:cs="Tahoma"/>
          <w:sz w:val="18"/>
          <w:szCs w:val="18"/>
          <w:lang w:val="ru-RU"/>
        </w:rPr>
        <w:t>t</w:t>
      </w:r>
      <w:r w:rsidR="004A3DC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mjeseci</w:t>
      </w:r>
      <w:r w:rsidR="00B61FD5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B61FD5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B61FD5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B61FD5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B61FD5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 w:rsidR="00E9755F" w:rsidRPr="005D5311">
        <w:rPr>
          <w:rFonts w:ascii="Tahoma" w:hAnsi="Tahoma" w:cs="Tahoma"/>
          <w:sz w:val="18"/>
          <w:szCs w:val="18"/>
          <w:lang w:val="ru-RU"/>
        </w:rPr>
        <w:t>57</w:t>
      </w:r>
      <w:r w:rsidR="00B61FD5" w:rsidRPr="005D5311">
        <w:rPr>
          <w:rFonts w:ascii="Tahoma" w:hAnsi="Tahoma" w:cs="Tahoma"/>
          <w:sz w:val="18"/>
          <w:szCs w:val="18"/>
          <w:lang w:val="ru-RU"/>
        </w:rPr>
        <w:t>,</w:t>
      </w:r>
      <w:r w:rsidR="00E9755F" w:rsidRPr="005D5311">
        <w:rPr>
          <w:rFonts w:ascii="Tahoma" w:hAnsi="Tahoma" w:cs="Tahoma"/>
          <w:sz w:val="18"/>
          <w:szCs w:val="18"/>
          <w:lang w:val="ru-RU"/>
        </w:rPr>
        <w:t>8</w:t>
      </w:r>
      <w:r w:rsidR="00B61FD5" w:rsidRPr="005D5311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B61FD5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B61FD5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spoljnotrgovinski</w:t>
      </w:r>
      <w:r w:rsidR="001730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robni</w:t>
      </w:r>
      <w:r w:rsidR="001730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deficit</w:t>
      </w:r>
      <w:r w:rsidR="001730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1730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 w:rsidR="00E9755F" w:rsidRPr="005D5311">
        <w:rPr>
          <w:rFonts w:ascii="Tahoma" w:hAnsi="Tahoma" w:cs="Tahoma"/>
          <w:sz w:val="18"/>
          <w:szCs w:val="18"/>
          <w:lang w:val="ru-RU"/>
        </w:rPr>
        <w:t>898</w:t>
      </w:r>
      <w:r w:rsidR="001730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1730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17306E" w:rsidRPr="005D5311">
        <w:rPr>
          <w:rFonts w:ascii="Tahoma" w:hAnsi="Tahoma" w:cs="Tahoma"/>
          <w:sz w:val="18"/>
          <w:szCs w:val="18"/>
          <w:lang w:val="ru-RU"/>
        </w:rPr>
        <w:t>.</w:t>
      </w:r>
    </w:p>
    <w:p w:rsidR="00E053E5" w:rsidRPr="005D5311" w:rsidRDefault="00E053E5" w:rsidP="005A5086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5D5311" w:rsidRDefault="00541DAF" w:rsidP="0017306E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>
        <w:rPr>
          <w:rFonts w:ascii="Tahoma" w:hAnsi="Tahoma" w:cs="Tahoma"/>
          <w:szCs w:val="18"/>
          <w:lang w:val="ru-RU"/>
        </w:rPr>
        <w:t>U</w:t>
      </w:r>
      <w:r w:rsidR="0017306E" w:rsidRPr="005D531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pogledu</w:t>
      </w:r>
      <w:r w:rsidR="0017306E" w:rsidRPr="005D531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geografske</w:t>
      </w:r>
      <w:r w:rsidR="0017306E" w:rsidRPr="005D531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distribucije</w:t>
      </w:r>
      <w:r w:rsidR="0017306E" w:rsidRPr="005D531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robne</w:t>
      </w:r>
      <w:r w:rsidR="0017306E" w:rsidRPr="005D531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razmjene</w:t>
      </w:r>
      <w:r w:rsidR="0017306E" w:rsidRPr="005D531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Republik</w:t>
      </w:r>
      <w:r w:rsidR="0017306E" w:rsidRPr="005D5311">
        <w:rPr>
          <w:rFonts w:ascii="Tahoma" w:hAnsi="Tahoma" w:cs="Tahoma"/>
          <w:szCs w:val="18"/>
        </w:rPr>
        <w:t>e</w:t>
      </w:r>
      <w:r w:rsidR="0017306E" w:rsidRPr="005D531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Srpsk</w:t>
      </w:r>
      <w:r w:rsidR="0017306E" w:rsidRPr="005D5311">
        <w:rPr>
          <w:rFonts w:ascii="Tahoma" w:hAnsi="Tahoma" w:cs="Tahoma"/>
          <w:szCs w:val="18"/>
        </w:rPr>
        <w:t>e</w:t>
      </w:r>
      <w:r w:rsidR="0017306E" w:rsidRPr="005D531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sa</w:t>
      </w:r>
      <w:r w:rsidR="0017306E" w:rsidRPr="005D531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inostranstvom</w:t>
      </w:r>
      <w:r w:rsidR="0017306E" w:rsidRPr="005D5311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ru-RU"/>
        </w:rPr>
        <w:t>u</w:t>
      </w:r>
      <w:r w:rsidR="0017306E" w:rsidRPr="005D531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periodu</w:t>
      </w:r>
      <w:r w:rsidR="00B61FD5" w:rsidRPr="005D531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januar</w:t>
      </w:r>
      <w:r w:rsidR="00B61FD5" w:rsidRPr="005D5311">
        <w:rPr>
          <w:rFonts w:ascii="Tahoma" w:hAnsi="Tahoma" w:cs="Tahoma"/>
          <w:szCs w:val="18"/>
          <w:lang w:val="ru-RU"/>
        </w:rPr>
        <w:t xml:space="preserve"> -</w:t>
      </w:r>
      <w:r w:rsidR="008D6AC0" w:rsidRPr="005D531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jun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2011. </w:t>
      </w:r>
      <w:r>
        <w:rPr>
          <w:rFonts w:ascii="Tahoma" w:hAnsi="Tahoma" w:cs="Tahoma"/>
          <w:szCs w:val="18"/>
          <w:lang w:val="sr-Cyrl-CS"/>
        </w:rPr>
        <w:t>godine</w:t>
      </w:r>
      <w:r w:rsidR="0017306E" w:rsidRPr="005D5311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najviše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se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izvozilo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B61FD5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Srbiju</w:t>
      </w:r>
      <w:r w:rsidR="00B61FD5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</w:t>
      </w:r>
      <w:r w:rsidR="00B61FD5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to</w:t>
      </w:r>
      <w:r w:rsidR="00B61FD5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B61FD5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B61FD5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B61FD5" w:rsidRPr="005D5311">
        <w:rPr>
          <w:rFonts w:ascii="Tahoma" w:hAnsi="Tahoma" w:cs="Tahoma"/>
          <w:szCs w:val="18"/>
          <w:lang w:val="sr-Cyrl-CS"/>
        </w:rPr>
        <w:t xml:space="preserve"> </w:t>
      </w:r>
      <w:r w:rsidR="00E9755F" w:rsidRPr="005D5311">
        <w:rPr>
          <w:rFonts w:ascii="Tahoma" w:hAnsi="Tahoma" w:cs="Tahoma"/>
          <w:szCs w:val="18"/>
          <w:lang w:val="sr-Cyrl-CS"/>
        </w:rPr>
        <w:t>200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miliona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17306E" w:rsidRPr="005D5311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1</w:t>
      </w:r>
      <w:r w:rsidR="00B040ED" w:rsidRPr="005D5311">
        <w:rPr>
          <w:rFonts w:ascii="Tahoma" w:hAnsi="Tahoma" w:cs="Tahoma"/>
          <w:szCs w:val="18"/>
          <w:lang w:val="sr-Cyrl-CS"/>
        </w:rPr>
        <w:t>6</w:t>
      </w:r>
      <w:r w:rsidR="0017306E" w:rsidRPr="005D5311">
        <w:rPr>
          <w:rFonts w:ascii="Tahoma" w:hAnsi="Tahoma" w:cs="Tahoma"/>
          <w:szCs w:val="18"/>
          <w:lang w:val="sr-Cyrl-CS"/>
        </w:rPr>
        <w:t>,</w:t>
      </w:r>
      <w:r w:rsidR="00E9755F" w:rsidRPr="005D5311">
        <w:rPr>
          <w:rFonts w:ascii="Tahoma" w:hAnsi="Tahoma" w:cs="Tahoma"/>
          <w:szCs w:val="18"/>
          <w:lang w:val="sr-Cyrl-CS"/>
        </w:rPr>
        <w:t>3</w:t>
      </w:r>
      <w:r w:rsidR="0017306E" w:rsidRPr="005D5311">
        <w:rPr>
          <w:rFonts w:ascii="Tahoma" w:hAnsi="Tahoma" w:cs="Tahoma"/>
          <w:szCs w:val="18"/>
          <w:lang w:val="sr-Cyrl-CS"/>
        </w:rPr>
        <w:t>%</w:t>
      </w:r>
      <w:r w:rsidR="0017306E" w:rsidRPr="005D5311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sr-Cyrl-CS"/>
        </w:rPr>
        <w:t>te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Italiju</w:t>
      </w:r>
      <w:r w:rsidR="0017306E" w:rsidRPr="005D5311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u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</w:t>
      </w:r>
      <w:r w:rsidR="00781CEE" w:rsidRPr="005D5311">
        <w:rPr>
          <w:rFonts w:ascii="Tahoma" w:hAnsi="Tahoma" w:cs="Tahoma"/>
          <w:szCs w:val="18"/>
          <w:lang w:val="sr-Cyrl-CS"/>
        </w:rPr>
        <w:t>1</w:t>
      </w:r>
      <w:r w:rsidR="00E9755F" w:rsidRPr="005D5311">
        <w:rPr>
          <w:rFonts w:ascii="Tahoma" w:hAnsi="Tahoma" w:cs="Tahoma"/>
          <w:szCs w:val="18"/>
          <w:lang w:val="sr-Cyrl-CS"/>
        </w:rPr>
        <w:t>86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miliona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B040ED" w:rsidRPr="005D5311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B040ED" w:rsidRPr="005D5311">
        <w:rPr>
          <w:rFonts w:ascii="Tahoma" w:hAnsi="Tahoma" w:cs="Tahoma"/>
          <w:szCs w:val="18"/>
          <w:lang w:val="sr-Cyrl-CS"/>
        </w:rPr>
        <w:t xml:space="preserve"> 15</w:t>
      </w:r>
      <w:r w:rsidR="008D6AC0" w:rsidRPr="005D5311">
        <w:rPr>
          <w:rFonts w:ascii="Tahoma" w:hAnsi="Tahoma" w:cs="Tahoma"/>
          <w:szCs w:val="18"/>
          <w:lang w:val="sr-Cyrl-CS"/>
        </w:rPr>
        <w:t>,</w:t>
      </w:r>
      <w:r w:rsidR="00E9755F" w:rsidRPr="005D5311">
        <w:rPr>
          <w:rFonts w:ascii="Tahoma" w:hAnsi="Tahoma" w:cs="Tahoma"/>
          <w:szCs w:val="18"/>
          <w:lang w:val="sr-Cyrl-CS"/>
        </w:rPr>
        <w:t>1</w:t>
      </w:r>
      <w:r w:rsidR="0017306E" w:rsidRPr="005D5311">
        <w:rPr>
          <w:rFonts w:ascii="Tahoma" w:hAnsi="Tahoma" w:cs="Tahoma"/>
          <w:szCs w:val="18"/>
          <w:lang w:val="sr-Cyrl-CS"/>
        </w:rPr>
        <w:t xml:space="preserve">% </w:t>
      </w:r>
      <w:r>
        <w:rPr>
          <w:rFonts w:ascii="Tahoma" w:hAnsi="Tahoma" w:cs="Tahoma"/>
          <w:szCs w:val="18"/>
          <w:lang w:val="sr-Cyrl-CS"/>
        </w:rPr>
        <w:t>od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ukupnog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ostvarenog</w:t>
      </w:r>
      <w:r w:rsidR="0017306E" w:rsidRPr="005D531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izvoza</w:t>
      </w:r>
      <w:r w:rsidR="0017306E" w:rsidRPr="005D5311">
        <w:rPr>
          <w:rFonts w:ascii="Tahoma" w:hAnsi="Tahoma" w:cs="Tahoma"/>
          <w:szCs w:val="18"/>
          <w:lang w:val="sr-Cyrl-CS"/>
        </w:rPr>
        <w:t>.</w:t>
      </w:r>
    </w:p>
    <w:p w:rsidR="0017306E" w:rsidRPr="005D5311" w:rsidRDefault="0017306E" w:rsidP="0017306E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17306E" w:rsidRPr="005D5311" w:rsidRDefault="00541DAF" w:rsidP="001730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ajviše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uvozilo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8D6AC0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Rusije</w:t>
      </w:r>
      <w:r w:rsidR="008D6AC0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D6AC0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to</w:t>
      </w:r>
      <w:r w:rsidR="008D6AC0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D6AC0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8D6AC0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8D6AC0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9755F" w:rsidRPr="005D5311">
        <w:rPr>
          <w:rFonts w:ascii="Tahoma" w:hAnsi="Tahoma" w:cs="Tahoma"/>
          <w:sz w:val="18"/>
          <w:szCs w:val="18"/>
          <w:lang w:val="sr-Cyrl-CS"/>
        </w:rPr>
        <w:t>582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8D6AC0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8D6AC0" w:rsidRPr="005D531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E053E5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D6AC0" w:rsidRPr="005D5311">
        <w:rPr>
          <w:rFonts w:ascii="Tahoma" w:hAnsi="Tahoma" w:cs="Tahoma"/>
          <w:sz w:val="18"/>
          <w:szCs w:val="18"/>
          <w:lang w:val="sr-Cyrl-CS"/>
        </w:rPr>
        <w:t>2</w:t>
      </w:r>
      <w:r w:rsidR="00E9755F" w:rsidRPr="005D5311">
        <w:rPr>
          <w:rFonts w:ascii="Tahoma" w:hAnsi="Tahoma" w:cs="Tahoma"/>
          <w:sz w:val="18"/>
          <w:szCs w:val="18"/>
          <w:lang w:val="sr-Cyrl-CS"/>
        </w:rPr>
        <w:t>7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>,</w:t>
      </w:r>
      <w:r w:rsidR="00E9755F" w:rsidRPr="005D5311">
        <w:rPr>
          <w:rFonts w:ascii="Tahoma" w:hAnsi="Tahoma" w:cs="Tahoma"/>
          <w:sz w:val="18"/>
          <w:szCs w:val="18"/>
          <w:lang w:val="sr-Cyrl-CS"/>
        </w:rPr>
        <w:t>4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Srbije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A3DCE" w:rsidRPr="005D5311">
        <w:rPr>
          <w:rFonts w:ascii="Tahoma" w:hAnsi="Tahoma" w:cs="Tahoma"/>
          <w:sz w:val="18"/>
          <w:szCs w:val="18"/>
          <w:lang w:val="sr-Cyrl-CS"/>
        </w:rPr>
        <w:t>3</w:t>
      </w:r>
      <w:r w:rsidR="00E9755F" w:rsidRPr="005D5311">
        <w:rPr>
          <w:rFonts w:ascii="Tahoma" w:hAnsi="Tahoma" w:cs="Tahoma"/>
          <w:sz w:val="18"/>
          <w:szCs w:val="18"/>
          <w:lang w:val="sr-Cyrl-CS"/>
        </w:rPr>
        <w:t>77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E9755F" w:rsidRPr="005D5311">
        <w:rPr>
          <w:rFonts w:ascii="Tahoma" w:hAnsi="Tahoma" w:cs="Tahoma"/>
          <w:sz w:val="18"/>
          <w:szCs w:val="18"/>
          <w:lang w:val="sr-Cyrl-CS"/>
        </w:rPr>
        <w:t>7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>,</w:t>
      </w:r>
      <w:r w:rsidR="00E9755F" w:rsidRPr="005D5311">
        <w:rPr>
          <w:rFonts w:ascii="Tahoma" w:hAnsi="Tahoma" w:cs="Tahoma"/>
          <w:sz w:val="18"/>
          <w:szCs w:val="18"/>
          <w:lang w:val="sr-Cyrl-CS"/>
        </w:rPr>
        <w:t>7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ostvarenog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uvoza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>.</w:t>
      </w:r>
    </w:p>
    <w:p w:rsidR="0017306E" w:rsidRPr="005D5311" w:rsidRDefault="0017306E" w:rsidP="001730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7306E" w:rsidRPr="005D5311" w:rsidRDefault="00541DAF" w:rsidP="001730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Cs/>
          <w:sz w:val="18"/>
          <w:szCs w:val="18"/>
          <w:lang w:val="ru-RU"/>
        </w:rPr>
        <w:t>Posmatrano</w:t>
      </w:r>
      <w:r w:rsidR="0017306E" w:rsidRPr="005D5311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po</w:t>
      </w:r>
      <w:r w:rsidR="0017306E" w:rsidRPr="005D5311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grupama</w:t>
      </w:r>
      <w:r w:rsidR="0017306E" w:rsidRPr="005D5311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proizvoda</w:t>
      </w:r>
      <w:r w:rsidR="0017306E" w:rsidRPr="005D5311">
        <w:rPr>
          <w:rFonts w:ascii="Tahoma" w:hAnsi="Tahoma" w:cs="Tahoma"/>
          <w:bCs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bCs/>
          <w:sz w:val="18"/>
          <w:szCs w:val="18"/>
          <w:lang w:val="ru-RU"/>
        </w:rPr>
        <w:t>u</w:t>
      </w:r>
      <w:r w:rsidR="0017306E" w:rsidRPr="005D5311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periodu</w:t>
      </w:r>
      <w:r w:rsidR="008D6AC0" w:rsidRPr="005D5311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8D6AC0" w:rsidRPr="005D5311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jun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izvozu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ostvaruju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naftna</w:t>
      </w:r>
      <w:r w:rsidR="00E053E5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E053E5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E053E5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E053E5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B040ED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B040ED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bitumenskih</w:t>
      </w:r>
      <w:r w:rsidR="00B040ED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B040ED" w:rsidRPr="005D5311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osim</w:t>
      </w:r>
      <w:r w:rsidR="00B040ED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sirovih</w:t>
      </w:r>
      <w:r w:rsidR="00B040ED" w:rsidRPr="005D5311">
        <w:rPr>
          <w:rFonts w:ascii="Tahoma" w:hAnsi="Tahoma" w:cs="Tahoma"/>
          <w:sz w:val="18"/>
          <w:szCs w:val="18"/>
          <w:lang w:val="sr-Cyrl-CS"/>
        </w:rPr>
        <w:t>)</w:t>
      </w:r>
      <w:r w:rsidR="00B040ED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781CE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ukupnom</w:t>
      </w:r>
      <w:r w:rsidR="00781CE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vrijednošću</w:t>
      </w:r>
      <w:r w:rsidR="00781CE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781CEE" w:rsidRPr="005D5311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E9755F" w:rsidRPr="005D5311">
        <w:rPr>
          <w:rFonts w:ascii="Tahoma" w:hAnsi="Tahoma" w:cs="Tahoma"/>
          <w:sz w:val="18"/>
          <w:szCs w:val="18"/>
          <w:lang w:val="sr-Cyrl-CS"/>
        </w:rPr>
        <w:t>56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B040ED" w:rsidRPr="005D5311">
        <w:rPr>
          <w:rFonts w:ascii="Tahoma" w:hAnsi="Tahoma" w:cs="Tahoma"/>
          <w:sz w:val="18"/>
          <w:szCs w:val="18"/>
          <w:lang w:val="sr-Cyrl-CS"/>
        </w:rPr>
        <w:t>2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>,</w:t>
      </w:r>
      <w:r w:rsidR="00E9755F" w:rsidRPr="005D5311">
        <w:rPr>
          <w:rFonts w:ascii="Tahoma" w:hAnsi="Tahoma" w:cs="Tahoma"/>
          <w:sz w:val="18"/>
          <w:szCs w:val="18"/>
          <w:lang w:val="sr-Cyrl-CS"/>
        </w:rPr>
        <w:t>7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ukupnog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izvoza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uvozu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ostvaruje</w:t>
      </w:r>
      <w:r w:rsidR="0017306E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ru-RU"/>
        </w:rPr>
        <w:t>aft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1730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1730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1730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bitumenskih</w:t>
      </w:r>
      <w:r w:rsidR="0017306E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sirov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781CEE" w:rsidRPr="005D5311">
        <w:rPr>
          <w:rFonts w:ascii="Tahoma" w:hAnsi="Tahoma" w:cs="Tahoma"/>
          <w:sz w:val="18"/>
          <w:szCs w:val="18"/>
          <w:lang w:val="sr-Cyrl-BA"/>
        </w:rPr>
        <w:t xml:space="preserve">),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781CE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ukupnom</w:t>
      </w:r>
      <w:r w:rsidR="00781CE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vrijednošću</w:t>
      </w:r>
      <w:r w:rsidR="00781CE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781CE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E9755F" w:rsidRPr="005D5311">
        <w:rPr>
          <w:rFonts w:ascii="Tahoma" w:hAnsi="Tahoma" w:cs="Tahoma"/>
          <w:sz w:val="18"/>
          <w:szCs w:val="18"/>
          <w:lang w:val="sr-Cyrl-BA"/>
        </w:rPr>
        <w:t xml:space="preserve">574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8D6AC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8D6AC0" w:rsidRPr="005D531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8D6AC0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</w:t>
      </w:r>
      <w:r w:rsidR="008D6AC0" w:rsidRPr="005D5311">
        <w:rPr>
          <w:rFonts w:ascii="Tahoma" w:hAnsi="Tahoma" w:cs="Tahoma"/>
          <w:sz w:val="18"/>
          <w:szCs w:val="18"/>
          <w:lang w:val="sr-Cyrl-BA"/>
        </w:rPr>
        <w:t xml:space="preserve"> 2</w:t>
      </w:r>
      <w:r w:rsidR="00E9755F" w:rsidRPr="005D5311">
        <w:rPr>
          <w:rFonts w:ascii="Tahoma" w:hAnsi="Tahoma" w:cs="Tahoma"/>
          <w:sz w:val="18"/>
          <w:szCs w:val="18"/>
          <w:lang w:val="sr-Cyrl-BA"/>
        </w:rPr>
        <w:t>7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>,</w:t>
      </w:r>
      <w:r w:rsidR="00E9755F" w:rsidRPr="005D5311">
        <w:rPr>
          <w:rFonts w:ascii="Tahoma" w:hAnsi="Tahoma" w:cs="Tahoma"/>
          <w:sz w:val="18"/>
          <w:szCs w:val="18"/>
          <w:lang w:val="sr-Cyrl-BA"/>
        </w:rPr>
        <w:t>0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%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ukupnog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17306E" w:rsidRPr="005D5311">
        <w:rPr>
          <w:rFonts w:ascii="Tahoma" w:hAnsi="Tahoma" w:cs="Tahoma"/>
          <w:sz w:val="18"/>
          <w:szCs w:val="18"/>
          <w:lang w:val="sr-Cyrl-BA"/>
        </w:rPr>
        <w:t>.</w:t>
      </w:r>
    </w:p>
    <w:p w:rsidR="00F664DA" w:rsidRPr="0052611C" w:rsidRDefault="00F664DA" w:rsidP="001730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F664DA" w:rsidRPr="0052611C" w:rsidRDefault="00F664DA" w:rsidP="001730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F664DA" w:rsidRPr="0052611C" w:rsidRDefault="00F664DA" w:rsidP="001730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78288A" w:rsidRPr="0052611C" w:rsidRDefault="00954CF1" w:rsidP="001730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2" type="#_x0000_t202" style="position:absolute;left:0;text-align:left;margin-left:314.2pt;margin-top:6.8pt;width:61.05pt;height:19.75pt;z-index:251658240;mso-width-relative:margin;mso-height-relative:margin" stroked="f">
            <v:textbox style="mso-next-textbox:#_x0000_s1062">
              <w:txbxContent>
                <w:p w:rsidR="00F4528D" w:rsidRPr="0078288A" w:rsidRDefault="00F4528D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D11D2E" w:rsidRPr="0052611C" w:rsidRDefault="00D11D2E" w:rsidP="001730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8288A" w:rsidRPr="0052611C" w:rsidRDefault="00954CF1" w:rsidP="0078288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  <w:r w:rsidRPr="00954CF1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290.65pt;margin-top:183.1pt;width:36.15pt;height:16.85pt;z-index:251657216;mso-height-percent:200;mso-height-percent:200;mso-width-relative:margin;mso-height-relative:margin" stroked="f">
            <v:textbox style="mso-fit-shape-to-text:t">
              <w:txbxContent>
                <w:p w:rsidR="00F4528D" w:rsidRPr="0078288A" w:rsidRDefault="00F4528D" w:rsidP="0078288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011</w:t>
                  </w:r>
                </w:p>
              </w:txbxContent>
            </v:textbox>
          </v:shape>
        </w:pict>
      </w:r>
      <w:r w:rsidRPr="00954CF1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73.85pt;margin-top:183.1pt;width:36.15pt;height:16.85pt;z-index:251656192;mso-height-percent:200;mso-height-percent:200;mso-width-relative:margin;mso-height-relative:margin" stroked="f">
            <v:textbox style="mso-fit-shape-to-text:t">
              <w:txbxContent>
                <w:p w:rsidR="00F4528D" w:rsidRPr="0078288A" w:rsidRDefault="00F4528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2010</w:t>
                  </w:r>
                </w:p>
              </w:txbxContent>
            </v:textbox>
          </v:shape>
        </w:pict>
      </w:r>
      <w:r w:rsidR="003802FC" w:rsidRPr="0052611C">
        <w:rPr>
          <w:noProof/>
        </w:rPr>
        <w:drawing>
          <wp:inline distT="0" distB="0" distL="0" distR="0">
            <wp:extent cx="5543550" cy="2809875"/>
            <wp:effectExtent l="0" t="0" r="0" b="0"/>
            <wp:docPr id="2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1FE7" w:rsidRPr="0052611C" w:rsidRDefault="00AF1FE7" w:rsidP="00AF1FE7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</w:rPr>
      </w:pPr>
    </w:p>
    <w:p w:rsidR="005E0301" w:rsidRPr="0052611C" w:rsidRDefault="005E0301" w:rsidP="005E0301">
      <w:pPr>
        <w:tabs>
          <w:tab w:val="left" w:pos="4545"/>
        </w:tabs>
        <w:jc w:val="center"/>
        <w:rPr>
          <w:rFonts w:ascii="Tahoma" w:hAnsi="Tahoma" w:cs="Tahoma"/>
          <w:b/>
        </w:rPr>
      </w:pPr>
    </w:p>
    <w:p w:rsidR="005E0301" w:rsidRPr="0052611C" w:rsidRDefault="00541DAF" w:rsidP="005E0301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sz w:val="16"/>
          <w:szCs w:val="16"/>
          <w:lang w:val="ru-RU"/>
        </w:rPr>
        <w:t>Grafikon</w:t>
      </w:r>
      <w:r w:rsidR="000328B8" w:rsidRPr="0052611C">
        <w:rPr>
          <w:rFonts w:ascii="Tahoma" w:hAnsi="Tahoma" w:cs="Tahoma"/>
          <w:sz w:val="16"/>
          <w:szCs w:val="16"/>
          <w:lang w:val="ru-RU"/>
        </w:rPr>
        <w:t xml:space="preserve"> </w:t>
      </w:r>
      <w:r w:rsidR="000328B8" w:rsidRPr="0052611C">
        <w:rPr>
          <w:rFonts w:ascii="Tahoma" w:hAnsi="Tahoma" w:cs="Tahoma"/>
          <w:sz w:val="16"/>
          <w:szCs w:val="16"/>
        </w:rPr>
        <w:t>2</w:t>
      </w:r>
      <w:r w:rsidR="005E0301" w:rsidRPr="0052611C">
        <w:rPr>
          <w:rFonts w:ascii="Tahoma" w:hAnsi="Tahoma" w:cs="Tahoma"/>
          <w:sz w:val="16"/>
          <w:szCs w:val="16"/>
          <w:lang w:val="ru-RU"/>
        </w:rPr>
        <w:t xml:space="preserve">. </w:t>
      </w:r>
      <w:r>
        <w:rPr>
          <w:rFonts w:ascii="Tahoma" w:hAnsi="Tahoma" w:cs="Tahoma"/>
          <w:iCs/>
          <w:sz w:val="16"/>
          <w:szCs w:val="16"/>
          <w:lang w:val="sr-Cyrl-CS"/>
        </w:rPr>
        <w:t>Iz</w:t>
      </w:r>
      <w:r>
        <w:rPr>
          <w:rFonts w:ascii="Tahoma" w:hAnsi="Tahoma" w:cs="Tahoma"/>
          <w:iCs/>
          <w:sz w:val="16"/>
          <w:szCs w:val="16"/>
          <w:lang w:val="ru-RU"/>
        </w:rPr>
        <w:t>voz</w:t>
      </w:r>
      <w:r w:rsidR="005E0301" w:rsidRPr="0052611C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i</w:t>
      </w:r>
      <w:r w:rsidR="005E0301" w:rsidRPr="0052611C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sr-Cyrl-CS"/>
        </w:rPr>
        <w:t>u</w:t>
      </w:r>
      <w:r>
        <w:rPr>
          <w:rFonts w:ascii="Tahoma" w:hAnsi="Tahoma" w:cs="Tahoma"/>
          <w:iCs/>
          <w:sz w:val="16"/>
          <w:szCs w:val="16"/>
          <w:lang w:val="ru-RU"/>
        </w:rPr>
        <w:t>voz</w:t>
      </w:r>
      <w:r w:rsidR="005E0301" w:rsidRPr="0052611C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po</w:t>
      </w:r>
      <w:r w:rsidR="005E0301" w:rsidRPr="0052611C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mjesecima</w:t>
      </w:r>
      <w:r w:rsidR="005E0301" w:rsidRPr="0052611C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u</w:t>
      </w:r>
      <w:r w:rsidR="005E0301" w:rsidRPr="0052611C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hilj</w:t>
      </w:r>
      <w:r>
        <w:rPr>
          <w:rFonts w:ascii="Tahoma" w:hAnsi="Tahoma" w:cs="Tahoma"/>
          <w:iCs/>
          <w:sz w:val="16"/>
          <w:szCs w:val="16"/>
          <w:lang w:val="sr-Cyrl-CS"/>
        </w:rPr>
        <w:t>adama</w:t>
      </w:r>
      <w:r w:rsidR="005E0301" w:rsidRPr="0052611C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sr-Cyrl-CS"/>
        </w:rPr>
        <w:t>KM</w:t>
      </w:r>
    </w:p>
    <w:p w:rsidR="00D11D2E" w:rsidRPr="0052611C" w:rsidRDefault="00D11D2E" w:rsidP="005E0301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</w:p>
    <w:p w:rsidR="00066F46" w:rsidRPr="0052611C" w:rsidRDefault="00066F46" w:rsidP="005A5086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D15DF7" w:rsidRPr="0052611C" w:rsidRDefault="00541DAF" w:rsidP="00D15DF7">
      <w:pPr>
        <w:rPr>
          <w:rFonts w:ascii="Tahoma" w:hAnsi="Tahoma" w:cs="Tahoma"/>
          <w:b/>
          <w:sz w:val="28"/>
          <w:szCs w:val="28"/>
          <w:lang w:val="sr-Cyrl-BA"/>
        </w:rPr>
      </w:pPr>
      <w:r>
        <w:rPr>
          <w:rFonts w:ascii="Tahoma" w:hAnsi="Tahoma" w:cs="Tahoma"/>
          <w:b/>
          <w:sz w:val="28"/>
          <w:szCs w:val="28"/>
          <w:lang w:val="sr-Cyrl-BA"/>
        </w:rPr>
        <w:t>Inovativno</w:t>
      </w:r>
      <w:r w:rsidR="00D15DF7" w:rsidRPr="0052611C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aktivno</w:t>
      </w:r>
      <w:r w:rsidR="00D15DF7" w:rsidRPr="0052611C">
        <w:rPr>
          <w:rFonts w:ascii="Tahoma" w:hAnsi="Tahoma" w:cs="Tahoma"/>
          <w:b/>
          <w:sz w:val="28"/>
          <w:szCs w:val="28"/>
          <w:lang w:val="sr-Cyrl-BA"/>
        </w:rPr>
        <w:t xml:space="preserve"> 37,95% </w:t>
      </w:r>
      <w:r>
        <w:rPr>
          <w:rFonts w:ascii="Tahoma" w:hAnsi="Tahoma" w:cs="Tahoma"/>
          <w:b/>
          <w:sz w:val="28"/>
          <w:szCs w:val="28"/>
          <w:lang w:val="sr-Cyrl-BA"/>
        </w:rPr>
        <w:t>preduzeća</w:t>
      </w:r>
      <w:r w:rsidR="00D15DF7" w:rsidRPr="0052611C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D15DF7" w:rsidRPr="0052611C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periodu</w:t>
      </w:r>
      <w:r w:rsidR="00D15DF7" w:rsidRPr="0052611C">
        <w:rPr>
          <w:rFonts w:ascii="Tahoma" w:hAnsi="Tahoma" w:cs="Tahoma"/>
          <w:b/>
          <w:sz w:val="28"/>
          <w:szCs w:val="28"/>
          <w:lang w:val="sr-Cyrl-BA"/>
        </w:rPr>
        <w:t xml:space="preserve"> 2008 – 2010. </w:t>
      </w:r>
    </w:p>
    <w:p w:rsidR="00D15DF7" w:rsidRPr="0052611C" w:rsidRDefault="00541DAF" w:rsidP="00D15DF7">
      <w:pPr>
        <w:tabs>
          <w:tab w:val="left" w:pos="0"/>
          <w:tab w:val="left" w:pos="1100"/>
        </w:tabs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Tehnološku</w:t>
      </w:r>
      <w:r w:rsidR="00D15DF7" w:rsidRPr="0052611C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inovaciju</w:t>
      </w:r>
      <w:r w:rsidR="00D15DF7" w:rsidRPr="0052611C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uvelo</w:t>
      </w:r>
      <w:r w:rsidR="00D15DF7" w:rsidRPr="0052611C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je</w:t>
      </w:r>
      <w:r w:rsidR="00D15DF7" w:rsidRPr="0052611C">
        <w:rPr>
          <w:rFonts w:ascii="Tahoma" w:hAnsi="Tahoma" w:cs="Tahoma"/>
          <w:sz w:val="24"/>
          <w:szCs w:val="24"/>
          <w:lang w:val="ru-RU"/>
        </w:rPr>
        <w:t xml:space="preserve"> 18,50% </w:t>
      </w:r>
      <w:r>
        <w:rPr>
          <w:rFonts w:ascii="Tahoma" w:hAnsi="Tahoma" w:cs="Tahoma"/>
          <w:sz w:val="24"/>
          <w:szCs w:val="24"/>
          <w:lang w:val="ru-RU"/>
        </w:rPr>
        <w:t>preduzeća</w:t>
      </w:r>
      <w:r w:rsidR="00D15DF7" w:rsidRPr="0052611C">
        <w:rPr>
          <w:rFonts w:ascii="Tahoma" w:hAnsi="Tahoma" w:cs="Tahoma"/>
          <w:sz w:val="24"/>
          <w:szCs w:val="24"/>
          <w:lang w:val="ru-RU"/>
        </w:rPr>
        <w:t xml:space="preserve"> </w:t>
      </w:r>
    </w:p>
    <w:p w:rsidR="00D15DF7" w:rsidRPr="0052611C" w:rsidRDefault="00D15DF7" w:rsidP="00D15DF7">
      <w:pPr>
        <w:tabs>
          <w:tab w:val="left" w:pos="0"/>
          <w:tab w:val="left" w:pos="1100"/>
        </w:tabs>
        <w:rPr>
          <w:rFonts w:ascii="Tahoma" w:hAnsi="Tahoma" w:cs="Tahoma"/>
          <w:sz w:val="18"/>
          <w:szCs w:val="18"/>
          <w:lang w:val="ru-RU"/>
        </w:rPr>
      </w:pPr>
    </w:p>
    <w:p w:rsidR="00D15DF7" w:rsidRPr="005D5311" w:rsidRDefault="00541DAF" w:rsidP="00D15DF7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Republici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Srpskoj</w:t>
      </w:r>
      <w:r w:rsidR="00D15DF7" w:rsidRPr="005D5311">
        <w:rPr>
          <w:rFonts w:ascii="Tahoma" w:hAnsi="Tahoma" w:cs="Tahoma"/>
          <w:sz w:val="18"/>
          <w:szCs w:val="18"/>
          <w:lang w:val="sr-Latn-BA"/>
        </w:rPr>
        <w:t>,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trogodišnjem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2008 - 2010.</w:t>
      </w:r>
      <w:r w:rsidR="00D15DF7" w:rsidRPr="005D5311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D15DF7" w:rsidRPr="005D5311">
        <w:rPr>
          <w:rFonts w:ascii="Tahoma" w:hAnsi="Tahoma" w:cs="Tahoma"/>
          <w:sz w:val="18"/>
          <w:szCs w:val="18"/>
          <w:lang w:val="sr-Latn-BA"/>
        </w:rPr>
        <w:t>,</w:t>
      </w:r>
      <w:r w:rsidR="00D15DF7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inovativno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aktivno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bilo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37,95%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posmatranog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uzorka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Prema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metodološkim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preporukama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inovativno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aktivna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koja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uvela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fizičkog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usluge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)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>/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procesa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>/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započela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inovativnu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aktivnost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prekinula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>/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uvela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organizaciji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>/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marketingu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. </w:t>
      </w:r>
    </w:p>
    <w:p w:rsidR="00D15DF7" w:rsidRPr="005D5311" w:rsidRDefault="00541DAF" w:rsidP="00D15DF7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Inovativna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aktivnost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povećava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povećanjem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njihove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veličine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tako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61,29% </w:t>
      </w:r>
      <w:r>
        <w:rPr>
          <w:rFonts w:ascii="Tahoma" w:hAnsi="Tahoma" w:cs="Tahoma"/>
          <w:sz w:val="18"/>
          <w:szCs w:val="18"/>
          <w:lang w:val="ru-RU"/>
        </w:rPr>
        <w:t>inovativno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aktivnih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posmatranom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velikih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zatim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43,58%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posmatranom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srednjih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31,44% </w:t>
      </w:r>
      <w:r>
        <w:rPr>
          <w:rFonts w:ascii="Tahoma" w:hAnsi="Tahoma" w:cs="Tahoma"/>
          <w:sz w:val="18"/>
          <w:szCs w:val="18"/>
          <w:lang w:val="ru-RU"/>
        </w:rPr>
        <w:t>inovativno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aktivnih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grupe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malih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. </w:t>
      </w:r>
    </w:p>
    <w:p w:rsidR="00D15DF7" w:rsidRPr="005D5311" w:rsidRDefault="00541DAF" w:rsidP="00D15DF7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Posmatrano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područjima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klasifikacije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djelatnosti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zasnovane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NACE Rev. 1.1., </w:t>
      </w:r>
      <w:r>
        <w:rPr>
          <w:rFonts w:ascii="Tahoma" w:hAnsi="Tahoma" w:cs="Tahoma"/>
          <w:sz w:val="18"/>
          <w:szCs w:val="18"/>
          <w:lang w:val="ru-RU"/>
        </w:rPr>
        <w:t>najviše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inovativno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aktivn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a </w:t>
      </w:r>
      <w:r>
        <w:rPr>
          <w:rFonts w:ascii="Tahoma" w:hAnsi="Tahoma" w:cs="Tahoma"/>
          <w:sz w:val="18"/>
          <w:szCs w:val="18"/>
          <w:lang w:val="ru-RU"/>
        </w:rPr>
        <w:t>bila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koja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pripadaju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Finansijskog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posredovanja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sve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četiri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vrste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>.</w:t>
      </w:r>
    </w:p>
    <w:p w:rsidR="00D15DF7" w:rsidRPr="005D5311" w:rsidRDefault="00D15DF7" w:rsidP="00D15DF7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D15DF7" w:rsidRPr="005D5311" w:rsidRDefault="00541DAF" w:rsidP="00D15DF7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Tehnološku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koja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uključuje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>/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procesa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>/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nedovršene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prekinute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inovativne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aktivnosti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uvelo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18,50%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28,95%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uvelo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netehnološku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odnosno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marketinga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>/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organizacije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Tehnološku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netehnološku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istovremeno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uvelo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52,55%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>.</w:t>
      </w:r>
    </w:p>
    <w:p w:rsidR="00D15DF7" w:rsidRPr="005D5311" w:rsidRDefault="00D15DF7" w:rsidP="00D15DF7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D15DF7" w:rsidRPr="005D5311" w:rsidRDefault="00541DAF" w:rsidP="00D15DF7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tehnološkim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inovacijama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2008 –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pojedinih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inovativnih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aktivnosti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najviše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nabavljala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mašine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opremu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softvere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(76,98%), a </w:t>
      </w:r>
      <w:r>
        <w:rPr>
          <w:rFonts w:ascii="Tahoma" w:hAnsi="Tahoma" w:cs="Tahoma"/>
          <w:sz w:val="18"/>
          <w:szCs w:val="18"/>
          <w:lang w:val="ru-RU"/>
        </w:rPr>
        <w:t>najmanje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koristila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eksterne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usluge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istraživanja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razvoja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(31,32%).</w:t>
      </w:r>
    </w:p>
    <w:p w:rsidR="00D15DF7" w:rsidRPr="005D5311" w:rsidRDefault="00D15DF7" w:rsidP="00D15DF7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D15DF7" w:rsidRPr="005D5311" w:rsidRDefault="00541DAF" w:rsidP="00D15DF7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Poboljšanje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kvaliteta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usluga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najveći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naveo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kao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najznačajniji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efekat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postignut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uvođenjem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tehnoloških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najmanji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kao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najznačajniji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efekat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naveo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smanjenje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troškova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materijala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energije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>.</w:t>
      </w:r>
    </w:p>
    <w:p w:rsidR="00D15DF7" w:rsidRPr="005D5311" w:rsidRDefault="00541DAF" w:rsidP="00D15DF7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Najznačajniji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efekti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postignuti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netehnološkim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inovacijama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poboljšanje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kvaliteta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usluga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uvođenjem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organizaciji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povećanje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zadržavanje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postojećeg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učešća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tržištu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uvođenjem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marketingu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>.</w:t>
      </w:r>
    </w:p>
    <w:p w:rsidR="00D15DF7" w:rsidRPr="005D5311" w:rsidRDefault="00D15DF7" w:rsidP="00D15DF7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D15DF7" w:rsidRPr="005D5311" w:rsidRDefault="00541DAF" w:rsidP="00D15DF7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Što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tiče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pojedinih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vrsta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18,21%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uvelo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fizičkog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usluge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), </w:t>
      </w:r>
      <w:r>
        <w:rPr>
          <w:rFonts w:ascii="Tahoma" w:hAnsi="Tahoma" w:cs="Tahoma"/>
          <w:sz w:val="18"/>
          <w:szCs w:val="18"/>
          <w:lang w:val="ru-RU"/>
        </w:rPr>
        <w:t>inovaciju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procesa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22,38%, </w:t>
      </w:r>
      <w:r>
        <w:rPr>
          <w:rFonts w:ascii="Tahoma" w:hAnsi="Tahoma" w:cs="Tahoma"/>
          <w:sz w:val="18"/>
          <w:szCs w:val="18"/>
          <w:lang w:val="ru-RU"/>
        </w:rPr>
        <w:t>inovaciju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organizaciji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22,89%, </w:t>
      </w:r>
      <w:r>
        <w:rPr>
          <w:rFonts w:ascii="Tahoma" w:hAnsi="Tahoma" w:cs="Tahoma"/>
          <w:sz w:val="18"/>
          <w:szCs w:val="18"/>
          <w:lang w:val="ru-RU"/>
        </w:rPr>
        <w:t>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marketingu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22,99%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posmatranog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uzorka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>.</w:t>
      </w:r>
    </w:p>
    <w:p w:rsidR="00D15DF7" w:rsidRPr="005D5311" w:rsidRDefault="00D15DF7" w:rsidP="00D15DF7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D15DF7" w:rsidRPr="005D5311" w:rsidRDefault="00541DAF" w:rsidP="00D15DF7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lastRenderedPageBreak/>
        <w:t>Nedostatak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finansijskih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sredstava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preduzeću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grupi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kojoj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preduzeće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pripada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40,49%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posmatranog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uzorka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označilo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kao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najznačajniji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faktor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koji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ih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spečava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ometa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provođenju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inovativnih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aktivnosti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najmanji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preduzeća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najznačajnijim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faktorom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koji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ih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ometa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sprečava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inoviranju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navelo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ranije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inovacije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njih</w:t>
      </w:r>
      <w:r w:rsidR="00D15DF7" w:rsidRPr="005D5311">
        <w:rPr>
          <w:rFonts w:ascii="Tahoma" w:hAnsi="Tahoma" w:cs="Tahoma"/>
          <w:sz w:val="18"/>
          <w:szCs w:val="18"/>
          <w:lang w:val="ru-RU"/>
        </w:rPr>
        <w:t xml:space="preserve"> 5,29%.</w:t>
      </w:r>
    </w:p>
    <w:p w:rsidR="00D15DF7" w:rsidRPr="0052611C" w:rsidRDefault="00D15DF7" w:rsidP="005A5086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  <w:lang w:val="ru-RU"/>
        </w:rPr>
      </w:pPr>
    </w:p>
    <w:p w:rsidR="00D15DF7" w:rsidRPr="0052611C" w:rsidRDefault="00D15DF7" w:rsidP="005A5086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  <w:lang w:val="ru-RU"/>
        </w:rPr>
      </w:pPr>
    </w:p>
    <w:p w:rsidR="00D15DF7" w:rsidRPr="0052611C" w:rsidRDefault="00954CF1" w:rsidP="00D15DF7">
      <w:pPr>
        <w:ind w:firstLine="708"/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noProof/>
          <w:sz w:val="16"/>
          <w:szCs w:val="16"/>
        </w:rPr>
        <w:pict>
          <v:shape id="_x0000_s1073" type="#_x0000_t202" style="position:absolute;left:0;text-align:left;margin-left:322.25pt;margin-top:33.55pt;width:159.95pt;height:22.9pt;z-index:251665408;mso-width-relative:margin;mso-height-relative:margin" filled="f" stroked="f">
            <v:textbox inset="0,0,0,0">
              <w:txbxContent>
                <w:p w:rsidR="00F4528D" w:rsidRPr="00541DAF" w:rsidRDefault="00541DAF" w:rsidP="00D15DF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Preduzeća</w:t>
                  </w:r>
                  <w:r w:rsidR="00F4528D" w:rsidRPr="00541DAF"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sa</w:t>
                  </w:r>
                  <w:r w:rsidR="00F4528D" w:rsidRPr="00541DAF"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netehnološkim</w:t>
                  </w:r>
                  <w:r w:rsidR="00F4528D" w:rsidRPr="00541DAF"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inovacijama</w:t>
                  </w:r>
                </w:p>
                <w:p w:rsidR="00F4528D" w:rsidRPr="00541DAF" w:rsidRDefault="00F4528D" w:rsidP="00D15DF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541DAF"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28,95%</w:t>
                  </w:r>
                </w:p>
              </w:txbxContent>
            </v:textbox>
          </v:shape>
        </w:pict>
      </w:r>
      <w:r w:rsidRPr="00954CF1">
        <w:rPr>
          <w:rFonts w:ascii="Tahoma" w:hAnsi="Tahoma" w:cs="Tahoma"/>
          <w:noProof/>
          <w:sz w:val="18"/>
          <w:szCs w:val="18"/>
          <w:lang w:val="ru-RU" w:eastAsia="zh-TW"/>
        </w:rPr>
        <w:pict>
          <v:shape id="_x0000_s1071" type="#_x0000_t202" style="position:absolute;left:0;text-align:left;margin-left:57.1pt;margin-top:33.55pt;width:159.95pt;height:20.7pt;z-index:251663360;mso-width-relative:margin;mso-height-relative:margin" filled="f" stroked="f">
            <v:textbox inset="0,0,0,0">
              <w:txbxContent>
                <w:p w:rsidR="00F4528D" w:rsidRPr="00541DAF" w:rsidRDefault="00541DAF" w:rsidP="00D15DF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Preduzeća</w:t>
                  </w:r>
                  <w:r w:rsidR="00F4528D" w:rsidRPr="00541DAF"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sa</w:t>
                  </w:r>
                  <w:r w:rsidR="00F4528D" w:rsidRPr="00541DAF"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tehnološkim</w:t>
                  </w:r>
                  <w:r w:rsidR="00F4528D" w:rsidRPr="00541DAF"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inovacijama</w:t>
                  </w:r>
                </w:p>
                <w:p w:rsidR="00F4528D" w:rsidRPr="00541DAF" w:rsidRDefault="00F4528D" w:rsidP="00D15DF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541DAF"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18,50%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16"/>
          <w:szCs w:val="16"/>
        </w:rPr>
        <w:pict>
          <v:shape id="_x0000_s1072" type="#_x0000_t202" style="position:absolute;left:0;text-align:left;margin-left:-23.1pt;margin-top:120.55pt;width:240.15pt;height:29.4pt;z-index:251664384;mso-width-relative:margin;mso-height-relative:margin" filled="f" stroked="f">
            <v:textbox inset="0,0,0,0">
              <w:txbxContent>
                <w:p w:rsidR="00F4528D" w:rsidRPr="00541DAF" w:rsidRDefault="00541DAF" w:rsidP="00D15DF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Preduzeća</w:t>
                  </w:r>
                  <w:r w:rsidR="00F4528D" w:rsidRPr="00541DAF"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sa</w:t>
                  </w:r>
                  <w:r w:rsidR="00F4528D" w:rsidRPr="00541DAF"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tehnološkim</w:t>
                  </w:r>
                  <w:r w:rsidR="00F4528D" w:rsidRPr="00541DAF"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i</w:t>
                  </w:r>
                  <w:r w:rsidR="00F4528D" w:rsidRPr="00541DAF"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netehnološkikim</w:t>
                  </w:r>
                  <w:r w:rsidR="00F4528D" w:rsidRPr="00541DAF"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inovacijama</w:t>
                  </w:r>
                </w:p>
                <w:p w:rsidR="00F4528D" w:rsidRPr="00541DAF" w:rsidRDefault="00F4528D" w:rsidP="00D15DF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541DAF"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52,55%</w:t>
                  </w:r>
                </w:p>
              </w:txbxContent>
            </v:textbox>
          </v:shape>
        </w:pict>
      </w:r>
      <w:r w:rsidR="00D15DF7" w:rsidRPr="0052611C">
        <w:rPr>
          <w:rFonts w:ascii="Tahoma" w:hAnsi="Tahoma" w:cs="Tahoma"/>
          <w:b/>
          <w:noProof/>
          <w:spacing w:val="-16"/>
          <w:sz w:val="28"/>
          <w:szCs w:val="28"/>
        </w:rPr>
        <w:drawing>
          <wp:inline distT="0" distB="0" distL="0" distR="0">
            <wp:extent cx="3857625" cy="2352675"/>
            <wp:effectExtent l="0" t="0" r="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5DF7" w:rsidRPr="0052611C" w:rsidRDefault="00D15DF7" w:rsidP="00D15DF7">
      <w:pPr>
        <w:ind w:firstLine="708"/>
        <w:jc w:val="center"/>
        <w:rPr>
          <w:rFonts w:ascii="Tahoma" w:hAnsi="Tahoma" w:cs="Tahoma"/>
          <w:sz w:val="16"/>
          <w:szCs w:val="16"/>
          <w:lang w:val="ru-RU"/>
        </w:rPr>
      </w:pPr>
    </w:p>
    <w:p w:rsidR="00D15DF7" w:rsidRPr="0052611C" w:rsidRDefault="00541DAF" w:rsidP="00D15DF7">
      <w:pPr>
        <w:ind w:firstLine="708"/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Grafikon</w:t>
      </w:r>
      <w:r w:rsidR="00D15DF7" w:rsidRPr="0052611C">
        <w:rPr>
          <w:rFonts w:ascii="Tahoma" w:hAnsi="Tahoma" w:cs="Tahoma"/>
          <w:sz w:val="16"/>
          <w:szCs w:val="16"/>
          <w:lang w:val="ru-RU"/>
        </w:rPr>
        <w:t xml:space="preserve"> 1. </w:t>
      </w:r>
      <w:r>
        <w:rPr>
          <w:rFonts w:ascii="Tahoma" w:hAnsi="Tahoma" w:cs="Tahoma"/>
          <w:sz w:val="16"/>
          <w:szCs w:val="16"/>
          <w:lang w:val="ru-RU"/>
        </w:rPr>
        <w:t>Inovativno</w:t>
      </w:r>
      <w:r w:rsidR="00D15DF7" w:rsidRPr="0052611C">
        <w:rPr>
          <w:rFonts w:ascii="Tahoma" w:hAnsi="Tahoma" w:cs="Tahoma"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sz w:val="16"/>
          <w:szCs w:val="16"/>
          <w:lang w:val="ru-RU"/>
        </w:rPr>
        <w:t>aktivna</w:t>
      </w:r>
      <w:r w:rsidR="00D15DF7" w:rsidRPr="0052611C">
        <w:rPr>
          <w:rFonts w:ascii="Tahoma" w:hAnsi="Tahoma" w:cs="Tahoma"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sz w:val="16"/>
          <w:szCs w:val="16"/>
          <w:lang w:val="ru-RU"/>
        </w:rPr>
        <w:t>preduzeća</w:t>
      </w:r>
      <w:r w:rsidR="00D15DF7" w:rsidRPr="0052611C">
        <w:rPr>
          <w:rFonts w:ascii="Tahoma" w:hAnsi="Tahoma" w:cs="Tahoma"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sz w:val="16"/>
          <w:szCs w:val="16"/>
          <w:lang w:val="ru-RU"/>
        </w:rPr>
        <w:t>u</w:t>
      </w:r>
      <w:r w:rsidR="00D15DF7" w:rsidRPr="0052611C">
        <w:rPr>
          <w:rFonts w:ascii="Tahoma" w:hAnsi="Tahoma" w:cs="Tahoma"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sz w:val="16"/>
          <w:szCs w:val="16"/>
          <w:lang w:val="ru-RU"/>
        </w:rPr>
        <w:t>periodu</w:t>
      </w:r>
      <w:r w:rsidR="00D15DF7" w:rsidRPr="0052611C">
        <w:rPr>
          <w:rFonts w:ascii="Tahoma" w:hAnsi="Tahoma" w:cs="Tahoma"/>
          <w:sz w:val="16"/>
          <w:szCs w:val="16"/>
          <w:lang w:val="ru-RU"/>
        </w:rPr>
        <w:t xml:space="preserve"> 2008 – 2010. </w:t>
      </w:r>
      <w:r>
        <w:rPr>
          <w:rFonts w:ascii="Tahoma" w:hAnsi="Tahoma" w:cs="Tahoma"/>
          <w:sz w:val="16"/>
          <w:szCs w:val="16"/>
          <w:lang w:val="ru-RU"/>
        </w:rPr>
        <w:t>godine</w:t>
      </w:r>
    </w:p>
    <w:p w:rsidR="00D15DF7" w:rsidRPr="0052611C" w:rsidRDefault="00D15DF7" w:rsidP="00D15DF7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pacing w:val="-16"/>
          <w:sz w:val="28"/>
          <w:szCs w:val="28"/>
          <w:lang w:val="ru-RU"/>
        </w:rPr>
      </w:pPr>
    </w:p>
    <w:p w:rsidR="00D15DF7" w:rsidRPr="0052611C" w:rsidRDefault="00D15DF7" w:rsidP="005A5086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  <w:lang w:val="ru-RU"/>
        </w:rPr>
      </w:pPr>
    </w:p>
    <w:p w:rsidR="008F0147" w:rsidRPr="0052611C" w:rsidRDefault="00541DAF" w:rsidP="008F0147">
      <w:pPr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Promet</w:t>
      </w:r>
      <w:r w:rsidR="008F0147" w:rsidRPr="005261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</w:t>
      </w:r>
      <w:r w:rsidR="008F0147" w:rsidRPr="005261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trgovini</w:t>
      </w:r>
      <w:r w:rsidR="008F0147" w:rsidRPr="005261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na</w:t>
      </w:r>
      <w:r w:rsidR="008F0147" w:rsidRPr="005261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malo</w:t>
      </w:r>
      <w:r w:rsidR="008F0147" w:rsidRPr="005261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veći</w:t>
      </w:r>
      <w:r w:rsidR="008F0147" w:rsidRPr="005261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8F46DE" w:rsidRPr="005D5311">
        <w:rPr>
          <w:rFonts w:ascii="Tahoma" w:hAnsi="Tahoma" w:cs="Tahoma"/>
          <w:b/>
          <w:sz w:val="28"/>
          <w:szCs w:val="28"/>
          <w:lang w:val="ru-RU"/>
        </w:rPr>
        <w:t>1.5</w:t>
      </w:r>
      <w:r w:rsidR="008F0147" w:rsidRPr="0052611C">
        <w:rPr>
          <w:rFonts w:ascii="Tahoma" w:hAnsi="Tahoma" w:cs="Tahoma"/>
          <w:b/>
          <w:sz w:val="28"/>
          <w:szCs w:val="28"/>
          <w:lang w:val="ru-RU"/>
        </w:rPr>
        <w:t>% (</w:t>
      </w:r>
      <w:r w:rsidR="008F0147" w:rsidRPr="0052611C">
        <w:rPr>
          <w:rFonts w:ascii="Tahoma" w:hAnsi="Tahoma" w:cs="Tahoma"/>
          <w:b/>
          <w:sz w:val="28"/>
          <w:szCs w:val="28"/>
        </w:rPr>
        <w:t>V</w:t>
      </w:r>
      <w:r w:rsidR="008F46DE">
        <w:rPr>
          <w:rFonts w:ascii="Tahoma" w:hAnsi="Tahoma" w:cs="Tahoma"/>
          <w:b/>
          <w:sz w:val="28"/>
          <w:szCs w:val="28"/>
        </w:rPr>
        <w:t>I</w:t>
      </w:r>
      <w:r w:rsidR="008F0147" w:rsidRPr="0052611C">
        <w:rPr>
          <w:rFonts w:ascii="Tahoma" w:hAnsi="Tahoma" w:cs="Tahoma"/>
          <w:b/>
          <w:sz w:val="28"/>
          <w:szCs w:val="28"/>
          <w:lang w:val="ru-RU"/>
        </w:rPr>
        <w:t xml:space="preserve"> 2011/</w:t>
      </w:r>
      <w:r w:rsidR="008F0147" w:rsidRPr="0052611C">
        <w:rPr>
          <w:rFonts w:ascii="Tahoma" w:hAnsi="Tahoma" w:cs="Tahoma"/>
          <w:b/>
          <w:sz w:val="28"/>
          <w:szCs w:val="28"/>
        </w:rPr>
        <w:t>V</w:t>
      </w:r>
      <w:r w:rsidR="008F0147" w:rsidRPr="0052611C">
        <w:rPr>
          <w:rFonts w:ascii="Tahoma" w:hAnsi="Tahoma" w:cs="Tahoma"/>
          <w:b/>
          <w:sz w:val="28"/>
          <w:szCs w:val="28"/>
          <w:lang w:val="ru-RU"/>
        </w:rPr>
        <w:t xml:space="preserve"> 201</w:t>
      </w:r>
      <w:r w:rsidR="008F46DE" w:rsidRPr="005D5311">
        <w:rPr>
          <w:rFonts w:ascii="Tahoma" w:hAnsi="Tahoma" w:cs="Tahoma"/>
          <w:b/>
          <w:sz w:val="28"/>
          <w:szCs w:val="28"/>
          <w:lang w:val="ru-RU"/>
        </w:rPr>
        <w:t>1</w:t>
      </w:r>
      <w:r w:rsidR="008F0147" w:rsidRPr="0052611C">
        <w:rPr>
          <w:rFonts w:ascii="Tahoma" w:hAnsi="Tahoma" w:cs="Tahoma"/>
          <w:b/>
          <w:sz w:val="28"/>
          <w:szCs w:val="28"/>
          <w:lang w:val="ru-RU"/>
        </w:rPr>
        <w:t>)</w:t>
      </w:r>
    </w:p>
    <w:p w:rsidR="008F0147" w:rsidRPr="0052611C" w:rsidRDefault="008F0147" w:rsidP="008F0147">
      <w:pPr>
        <w:ind w:firstLine="720"/>
        <w:jc w:val="both"/>
        <w:rPr>
          <w:rFonts w:ascii="Tahoma" w:hAnsi="Tahoma" w:cs="Tahoma"/>
          <w:bCs/>
          <w:sz w:val="18"/>
          <w:szCs w:val="18"/>
          <w:lang w:val="ru-RU"/>
        </w:rPr>
      </w:pPr>
    </w:p>
    <w:p w:rsidR="006E43EC" w:rsidRPr="005D5311" w:rsidRDefault="00541DAF" w:rsidP="006E43EC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Promet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trgovini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malo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veći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1,5%,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juni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veći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9,0%,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veći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10,1%.</w:t>
      </w:r>
    </w:p>
    <w:p w:rsidR="006E43EC" w:rsidRPr="005D5311" w:rsidRDefault="006E43EC" w:rsidP="006E43EC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F0147" w:rsidRPr="005D5311" w:rsidRDefault="00541DAF" w:rsidP="006E43EC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strukturi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prometa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najviše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učestvuje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trgovina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malo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nespecijalizovanim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prodavnicama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28,4%, </w:t>
      </w:r>
      <w:r>
        <w:rPr>
          <w:rFonts w:ascii="Tahoma" w:hAnsi="Tahoma" w:cs="Tahoma"/>
          <w:sz w:val="18"/>
          <w:szCs w:val="18"/>
          <w:lang w:val="sr-Cyrl-CS"/>
        </w:rPr>
        <w:t>trgovina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malo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motornim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gorivima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mazivima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27,6%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trgovina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malo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novom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robom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specijaliziranim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prodavnicama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20,3%,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najmanje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učestvuje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trgovina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malo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izvan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prodavnica</w:t>
      </w:r>
      <w:r w:rsidR="006E43EC" w:rsidRPr="005D5311">
        <w:rPr>
          <w:rFonts w:ascii="Tahoma" w:hAnsi="Tahoma" w:cs="Tahoma"/>
          <w:sz w:val="18"/>
          <w:szCs w:val="18"/>
          <w:lang w:val="sr-Cyrl-CS"/>
        </w:rPr>
        <w:t xml:space="preserve"> 0,3%</w:t>
      </w:r>
      <w:r w:rsidR="005D5311">
        <w:rPr>
          <w:rFonts w:ascii="Tahoma" w:hAnsi="Tahoma" w:cs="Tahoma"/>
          <w:sz w:val="18"/>
          <w:szCs w:val="18"/>
          <w:lang w:val="sr-Cyrl-CS"/>
        </w:rPr>
        <w:t>.</w:t>
      </w:r>
    </w:p>
    <w:p w:rsidR="008F0147" w:rsidRDefault="008F0147" w:rsidP="005A5086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  <w:lang w:val="ru-RU"/>
        </w:rPr>
      </w:pPr>
    </w:p>
    <w:p w:rsidR="003A5F78" w:rsidRPr="00E15BE0" w:rsidRDefault="00541DAF" w:rsidP="003A5F7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  <w:lang w:val="ru-RU"/>
        </w:rPr>
      </w:pPr>
      <w:r>
        <w:rPr>
          <w:rFonts w:ascii="Tahoma" w:hAnsi="Tahoma" w:cs="Tahoma"/>
          <w:b/>
          <w:spacing w:val="-16"/>
          <w:sz w:val="28"/>
          <w:szCs w:val="28"/>
          <w:lang w:val="ru-RU"/>
        </w:rPr>
        <w:t>Zabilježeno</w:t>
      </w:r>
      <w:r w:rsidR="003A5F78" w:rsidRPr="00E15BE0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 w:rsidR="003A5F78" w:rsidRPr="00E85AD4">
        <w:rPr>
          <w:rFonts w:ascii="Tahoma" w:hAnsi="Tahoma" w:cs="Tahoma"/>
          <w:b/>
          <w:spacing w:val="-16"/>
          <w:sz w:val="28"/>
          <w:szCs w:val="28"/>
          <w:lang w:val="ru-RU"/>
        </w:rPr>
        <w:t>4</w:t>
      </w:r>
      <w:r w:rsidR="003A5F78" w:rsidRPr="00E15BE0">
        <w:rPr>
          <w:rFonts w:ascii="Tahoma" w:hAnsi="Tahoma" w:cs="Tahoma"/>
          <w:b/>
          <w:spacing w:val="-16"/>
          <w:sz w:val="28"/>
          <w:szCs w:val="28"/>
          <w:lang w:val="ru-RU"/>
        </w:rPr>
        <w:t>,</w:t>
      </w:r>
      <w:r w:rsidR="003A5F78">
        <w:rPr>
          <w:rFonts w:ascii="Tahoma" w:hAnsi="Tahoma" w:cs="Tahoma"/>
          <w:b/>
          <w:spacing w:val="-16"/>
          <w:sz w:val="28"/>
          <w:szCs w:val="28"/>
          <w:lang w:val="sr-Latn-CS"/>
        </w:rPr>
        <w:t>2</w:t>
      </w:r>
      <w:r w:rsidR="003A5F78" w:rsidRPr="00E15BE0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%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manje</w:t>
      </w:r>
      <w:r w:rsidR="003A5F78" w:rsidRPr="00E15BE0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ru-RU"/>
        </w:rPr>
        <w:t>noćenja</w:t>
      </w:r>
      <w:r w:rsidR="003A5F78" w:rsidRPr="00E15BE0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BA"/>
        </w:rPr>
        <w:t>u</w:t>
      </w:r>
      <w:r w:rsidR="003A5F78" w:rsidRPr="00E15BE0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junu</w:t>
      </w:r>
      <w:r w:rsidR="003A5F78" w:rsidRPr="00E15BE0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</w:t>
      </w:r>
      <w:r w:rsidR="003A5F78" w:rsidRPr="00E15BE0">
        <w:rPr>
          <w:rFonts w:ascii="Tahoma" w:hAnsi="Tahoma" w:cs="Tahoma"/>
          <w:b/>
          <w:spacing w:val="-16"/>
          <w:sz w:val="28"/>
          <w:szCs w:val="28"/>
          <w:lang w:val="ru-RU"/>
        </w:rPr>
        <w:t>2011</w:t>
      </w:r>
      <w:r w:rsidR="003A5F78" w:rsidRPr="00E15BE0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.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nego</w:t>
      </w:r>
      <w:r w:rsidR="003A5F78" w:rsidRPr="00E15BE0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u</w:t>
      </w:r>
      <w:r w:rsidR="003A5F78" w:rsidRPr="00E15BE0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maju</w:t>
      </w:r>
      <w:r w:rsidR="003A5F78" w:rsidRPr="00E15BE0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2011. </w:t>
      </w:r>
    </w:p>
    <w:p w:rsidR="003A5F78" w:rsidRPr="00E15BE0" w:rsidRDefault="00541DAF" w:rsidP="003A5F78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24"/>
          <w:szCs w:val="24"/>
          <w:lang w:val="ru-RU"/>
        </w:rPr>
      </w:pPr>
      <w:r>
        <w:rPr>
          <w:rFonts w:ascii="Tahoma" w:hAnsi="Tahoma" w:cs="Tahoma"/>
          <w:spacing w:val="-14"/>
          <w:sz w:val="24"/>
          <w:szCs w:val="24"/>
          <w:lang w:val="ru-RU"/>
        </w:rPr>
        <w:t>Najviše</w:t>
      </w:r>
      <w:r w:rsidR="003A5F78" w:rsidRPr="00E15BE0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noćenja</w:t>
      </w:r>
      <w:r w:rsidR="003A5F78" w:rsidRPr="00E15BE0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turista</w:t>
      </w:r>
      <w:r w:rsidR="003A5F78" w:rsidRPr="00E15BE0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iz</w:t>
      </w:r>
      <w:r w:rsidR="003A5F78" w:rsidRPr="00E15BE0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Srbije</w:t>
      </w:r>
      <w:r w:rsidR="003A5F78" w:rsidRPr="00E15BE0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i</w:t>
      </w:r>
      <w:r w:rsidR="003A5F78" w:rsidRPr="00E15BE0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to</w:t>
      </w:r>
      <w:r w:rsidR="003A5F78" w:rsidRPr="00E15BE0">
        <w:rPr>
          <w:rFonts w:ascii="Tahoma" w:hAnsi="Tahoma" w:cs="Tahoma"/>
          <w:spacing w:val="-14"/>
          <w:sz w:val="24"/>
          <w:szCs w:val="24"/>
          <w:lang w:val="ru-RU"/>
        </w:rPr>
        <w:t xml:space="preserve"> 7 </w:t>
      </w:r>
      <w:r w:rsidR="003A5F78">
        <w:rPr>
          <w:rFonts w:ascii="Tahoma" w:hAnsi="Tahoma" w:cs="Tahoma"/>
          <w:spacing w:val="-14"/>
          <w:sz w:val="24"/>
          <w:szCs w:val="24"/>
          <w:lang w:val="ru-RU"/>
        </w:rPr>
        <w:t>596</w:t>
      </w:r>
    </w:p>
    <w:p w:rsidR="00FD5ABF" w:rsidRPr="0052611C" w:rsidRDefault="00FD5ABF" w:rsidP="00FD5ABF">
      <w:pPr>
        <w:pStyle w:val="Default"/>
        <w:rPr>
          <w:color w:val="auto"/>
          <w:highlight w:val="yellow"/>
          <w:lang w:val="ru-RU"/>
        </w:rPr>
      </w:pPr>
    </w:p>
    <w:p w:rsidR="003A5F78" w:rsidRPr="005D5311" w:rsidRDefault="00541DAF" w:rsidP="003A5F78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U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junu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Republika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Srpska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raspolagala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kapacitetom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4 243 </w:t>
      </w:r>
      <w:r>
        <w:rPr>
          <w:rFonts w:ascii="Tahoma" w:hAnsi="Tahoma" w:cs="Tahoma"/>
          <w:sz w:val="18"/>
          <w:szCs w:val="18"/>
          <w:lang w:val="ru-RU"/>
        </w:rPr>
        <w:t>sobe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odnosno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9 119 </w:t>
      </w:r>
      <w:r>
        <w:rPr>
          <w:rFonts w:ascii="Tahoma" w:hAnsi="Tahoma" w:cs="Tahoma"/>
          <w:sz w:val="18"/>
          <w:szCs w:val="18"/>
          <w:lang w:val="ru-RU"/>
        </w:rPr>
        <w:t>ležaja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>.</w:t>
      </w:r>
    </w:p>
    <w:p w:rsidR="003A5F78" w:rsidRPr="005D5311" w:rsidRDefault="003A5F78" w:rsidP="003A5F78">
      <w:pPr>
        <w:jc w:val="both"/>
        <w:outlineLvl w:val="0"/>
        <w:rPr>
          <w:rFonts w:ascii="Tahoma" w:hAnsi="Tahoma" w:cs="Tahoma"/>
          <w:spacing w:val="-4"/>
          <w:sz w:val="18"/>
          <w:szCs w:val="18"/>
          <w:lang w:val="sr-Cyrl-BA"/>
        </w:rPr>
      </w:pPr>
    </w:p>
    <w:p w:rsidR="003A5F78" w:rsidRPr="005D5311" w:rsidRDefault="00541DAF" w:rsidP="003A5F78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Ostvareno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23 025 </w:t>
      </w:r>
      <w:r>
        <w:rPr>
          <w:rFonts w:ascii="Tahoma" w:hAnsi="Tahoma" w:cs="Tahoma"/>
          <w:sz w:val="18"/>
          <w:szCs w:val="18"/>
          <w:lang w:val="sr-Cyrl-BA"/>
        </w:rPr>
        <w:t>dolazaka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maj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2,2%,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57 407 </w:t>
      </w:r>
      <w:r>
        <w:rPr>
          <w:rFonts w:ascii="Tahoma" w:hAnsi="Tahoma" w:cs="Tahoma"/>
          <w:sz w:val="18"/>
          <w:szCs w:val="18"/>
          <w:lang w:val="sr-Cyrl-BA"/>
        </w:rPr>
        <w:t>noćenja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maj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4,2%.</w:t>
      </w:r>
      <w:r w:rsidR="003A5F78" w:rsidRPr="005D5311">
        <w:rPr>
          <w:sz w:val="18"/>
          <w:szCs w:val="18"/>
          <w:lang w:val="sr-Cyrl-BA"/>
        </w:rPr>
        <w:t xml:space="preserve"> </w:t>
      </w:r>
    </w:p>
    <w:p w:rsidR="003A5F78" w:rsidRPr="005D5311" w:rsidRDefault="003A5F78" w:rsidP="003A5F78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18"/>
          <w:szCs w:val="18"/>
          <w:lang w:val="sr-Cyrl-CS"/>
        </w:rPr>
      </w:pPr>
    </w:p>
    <w:p w:rsidR="003A5F78" w:rsidRPr="005D5311" w:rsidRDefault="00541DAF" w:rsidP="003A5F78">
      <w:pPr>
        <w:jc w:val="both"/>
        <w:outlineLvl w:val="0"/>
        <w:rPr>
          <w:rFonts w:ascii="Tahoma" w:hAnsi="Tahoma" w:cs="Tahoma"/>
          <w:b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ru-RU"/>
        </w:rPr>
        <w:t>Poredeći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20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>1</w:t>
      </w:r>
      <w:r w:rsidR="003A5F78" w:rsidRPr="005D5311">
        <w:rPr>
          <w:rFonts w:ascii="Tahoma" w:hAnsi="Tahoma" w:cs="Tahoma"/>
          <w:sz w:val="18"/>
          <w:szCs w:val="18"/>
          <w:lang w:val="sr-Cyrl-CS"/>
        </w:rPr>
        <w:t>1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jun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zabilježeno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smanjenje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dolazaka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4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>,9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0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>,1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>%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>.</w:t>
      </w:r>
    </w:p>
    <w:p w:rsidR="003A5F78" w:rsidRPr="005D5311" w:rsidRDefault="003A5F78" w:rsidP="003A5F78">
      <w:pPr>
        <w:jc w:val="both"/>
        <w:outlineLvl w:val="0"/>
        <w:rPr>
          <w:rFonts w:ascii="Tahoma" w:hAnsi="Tahoma" w:cs="Tahoma"/>
          <w:sz w:val="18"/>
          <w:szCs w:val="18"/>
          <w:lang w:val="sr-Cyrl-BA"/>
        </w:rPr>
      </w:pPr>
    </w:p>
    <w:p w:rsidR="003A5F78" w:rsidRPr="005D5311" w:rsidRDefault="00541DAF" w:rsidP="003A5F78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Domaći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turisti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ostvarili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14 273 </w:t>
      </w:r>
      <w:r>
        <w:rPr>
          <w:rFonts w:ascii="Tahoma" w:hAnsi="Tahoma" w:cs="Tahoma"/>
          <w:sz w:val="18"/>
          <w:szCs w:val="18"/>
          <w:lang w:val="sr-Cyrl-BA"/>
        </w:rPr>
        <w:t>dolazaka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jun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8,3%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40 276 </w:t>
      </w:r>
      <w:r>
        <w:rPr>
          <w:rFonts w:ascii="Tahoma" w:hAnsi="Tahoma" w:cs="Tahoma"/>
          <w:sz w:val="18"/>
          <w:szCs w:val="18"/>
          <w:lang w:val="sr-Cyrl-BA"/>
        </w:rPr>
        <w:t>noćenja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jun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1,4%.</w:t>
      </w:r>
    </w:p>
    <w:p w:rsidR="003A5F78" w:rsidRPr="005D5311" w:rsidRDefault="003A5F78" w:rsidP="003A5F78">
      <w:pPr>
        <w:jc w:val="both"/>
        <w:outlineLvl w:val="0"/>
        <w:rPr>
          <w:rFonts w:ascii="Tahoma" w:hAnsi="Tahoma" w:cs="Tahoma"/>
          <w:b/>
          <w:sz w:val="18"/>
          <w:szCs w:val="18"/>
          <w:lang w:val="sr-Cyrl-BA"/>
        </w:rPr>
      </w:pPr>
    </w:p>
    <w:p w:rsidR="003A5F78" w:rsidRPr="005D5311" w:rsidRDefault="00541DAF" w:rsidP="003A5F78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Strani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turisti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ostvarili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8 752 </w:t>
      </w:r>
      <w:r>
        <w:rPr>
          <w:rFonts w:ascii="Tahoma" w:hAnsi="Tahoma" w:cs="Tahoma"/>
          <w:sz w:val="18"/>
          <w:szCs w:val="18"/>
          <w:lang w:val="sr-Cyrl-BA"/>
        </w:rPr>
        <w:t>dolazaka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jun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1,1%,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 17 131 </w:t>
      </w:r>
      <w:r>
        <w:rPr>
          <w:rFonts w:ascii="Tahoma" w:hAnsi="Tahoma" w:cs="Tahoma"/>
          <w:sz w:val="18"/>
          <w:szCs w:val="18"/>
          <w:lang w:val="sr-Cyrl-BA"/>
        </w:rPr>
        <w:t>noćenja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5D531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jun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3,2%.</w:t>
      </w:r>
    </w:p>
    <w:p w:rsidR="003A5F78" w:rsidRPr="005D5311" w:rsidRDefault="003A5F78" w:rsidP="003A5F78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</w:p>
    <w:p w:rsidR="003A5F78" w:rsidRPr="005D5311" w:rsidRDefault="00541DAF" w:rsidP="003A5F78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Od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stranih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turista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najviše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su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ostvarili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turisti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Srbije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(7 596),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jun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9,0%.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drugom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mjestu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Slovenija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ostvarenih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1 586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jun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34,7%.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trećem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mjestu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ostvarenom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broju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Hrvatska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(1 450),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jun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5D5311">
        <w:rPr>
          <w:rFonts w:ascii="Tahoma" w:hAnsi="Tahoma" w:cs="Tahoma"/>
          <w:sz w:val="18"/>
          <w:szCs w:val="18"/>
          <w:lang w:val="ru-RU"/>
        </w:rPr>
        <w:t xml:space="preserve"> 15,6%.</w:t>
      </w:r>
    </w:p>
    <w:p w:rsidR="00F94323" w:rsidRPr="000A1737" w:rsidRDefault="00F94323" w:rsidP="00211CC7">
      <w:pPr>
        <w:ind w:firstLine="720"/>
        <w:jc w:val="both"/>
        <w:rPr>
          <w:rFonts w:ascii="Tahoma" w:hAnsi="Tahoma" w:cs="Tahoma"/>
          <w:b/>
          <w:color w:val="FF0000"/>
          <w:sz w:val="16"/>
          <w:szCs w:val="16"/>
          <w:lang w:val="ru-RU"/>
        </w:rPr>
      </w:pPr>
    </w:p>
    <w:p w:rsidR="00F94323" w:rsidRPr="008D5FEB" w:rsidRDefault="00F94323" w:rsidP="00211CC7">
      <w:pPr>
        <w:ind w:firstLine="720"/>
        <w:jc w:val="both"/>
        <w:rPr>
          <w:rFonts w:ascii="Tahoma" w:hAnsi="Tahoma" w:cs="Tahoma"/>
          <w:b/>
          <w:color w:val="FF0000"/>
          <w:sz w:val="16"/>
          <w:szCs w:val="16"/>
          <w:lang w:val="ru-RU"/>
        </w:rPr>
      </w:pPr>
    </w:p>
    <w:p w:rsidR="001F25AB" w:rsidRPr="00E85AD4" w:rsidRDefault="001F25AB" w:rsidP="00E15BE0">
      <w:pPr>
        <w:jc w:val="both"/>
        <w:rPr>
          <w:rFonts w:ascii="Tahoma" w:hAnsi="Tahoma" w:cs="Tahoma"/>
          <w:bCs/>
          <w:sz w:val="18"/>
          <w:szCs w:val="18"/>
          <w:lang w:val="ru-RU"/>
        </w:rPr>
      </w:pPr>
    </w:p>
    <w:p w:rsidR="001F25AB" w:rsidRPr="000A1737" w:rsidRDefault="001F25AB" w:rsidP="007F2C40">
      <w:pPr>
        <w:ind w:firstLine="720"/>
        <w:jc w:val="both"/>
        <w:rPr>
          <w:rFonts w:ascii="Tahoma" w:hAnsi="Tahoma" w:cs="Tahoma"/>
          <w:bCs/>
          <w:sz w:val="16"/>
          <w:szCs w:val="16"/>
          <w:lang w:val="ru-RU"/>
        </w:rPr>
      </w:pPr>
    </w:p>
    <w:p w:rsidR="001F25AB" w:rsidRPr="000A1737" w:rsidRDefault="001F25AB" w:rsidP="007F2C40">
      <w:pPr>
        <w:ind w:firstLine="720"/>
        <w:jc w:val="both"/>
        <w:rPr>
          <w:rFonts w:ascii="Tahoma" w:hAnsi="Tahoma" w:cs="Tahoma"/>
          <w:bCs/>
          <w:sz w:val="16"/>
          <w:szCs w:val="16"/>
          <w:lang w:val="ru-RU"/>
        </w:rPr>
      </w:pPr>
    </w:p>
    <w:p w:rsidR="001F25AB" w:rsidRPr="000A1737" w:rsidRDefault="001F25AB" w:rsidP="007F2C40">
      <w:pPr>
        <w:ind w:firstLine="720"/>
        <w:jc w:val="both"/>
        <w:rPr>
          <w:rFonts w:ascii="Tahoma" w:hAnsi="Tahoma" w:cs="Tahoma"/>
          <w:bCs/>
          <w:sz w:val="16"/>
          <w:szCs w:val="16"/>
          <w:lang w:val="ru-RU"/>
        </w:rPr>
      </w:pPr>
    </w:p>
    <w:p w:rsidR="001F25AB" w:rsidRPr="000A1737" w:rsidRDefault="001F25AB" w:rsidP="007F2C40">
      <w:pPr>
        <w:ind w:firstLine="720"/>
        <w:jc w:val="both"/>
        <w:rPr>
          <w:rFonts w:ascii="Tahoma" w:hAnsi="Tahoma" w:cs="Tahoma"/>
          <w:bCs/>
          <w:sz w:val="16"/>
          <w:szCs w:val="16"/>
          <w:lang w:val="ru-RU"/>
        </w:rPr>
      </w:pPr>
    </w:p>
    <w:p w:rsidR="001F25AB" w:rsidRPr="000A1737" w:rsidRDefault="001F25AB" w:rsidP="007F2C40">
      <w:pPr>
        <w:ind w:firstLine="720"/>
        <w:jc w:val="both"/>
        <w:rPr>
          <w:rFonts w:ascii="Tahoma" w:hAnsi="Tahoma" w:cs="Tahoma"/>
          <w:bCs/>
          <w:sz w:val="16"/>
          <w:szCs w:val="16"/>
          <w:lang w:val="ru-RU"/>
        </w:rPr>
      </w:pPr>
    </w:p>
    <w:p w:rsidR="001F25AB" w:rsidRPr="000A1737" w:rsidRDefault="001F25AB" w:rsidP="007F2C40">
      <w:pPr>
        <w:ind w:firstLine="720"/>
        <w:jc w:val="both"/>
        <w:rPr>
          <w:rFonts w:ascii="Tahoma" w:hAnsi="Tahoma" w:cs="Tahoma"/>
          <w:bCs/>
          <w:sz w:val="16"/>
          <w:szCs w:val="16"/>
          <w:lang w:val="ru-RU"/>
        </w:rPr>
      </w:pPr>
    </w:p>
    <w:p w:rsidR="001F25AB" w:rsidRPr="000A1737" w:rsidRDefault="001F25AB" w:rsidP="007F2C40">
      <w:pPr>
        <w:ind w:firstLine="720"/>
        <w:jc w:val="both"/>
        <w:rPr>
          <w:rFonts w:ascii="Tahoma" w:hAnsi="Tahoma" w:cs="Tahoma"/>
          <w:bCs/>
          <w:sz w:val="16"/>
          <w:szCs w:val="16"/>
          <w:lang w:val="ru-RU"/>
        </w:rPr>
      </w:pPr>
    </w:p>
    <w:p w:rsidR="001F25AB" w:rsidRPr="000A1737" w:rsidRDefault="001F25AB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813E2E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A68BE" w:rsidRDefault="00541DAF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MATERIJAL</w:t>
            </w:r>
            <w:r w:rsidR="008C3261" w:rsidRPr="00DA68BE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PRIPREMILI</w:t>
            </w:r>
            <w:r w:rsidR="008C3261">
              <w:rPr>
                <w:rFonts w:ascii="Tahoma" w:hAnsi="Tahoma" w:cs="Tahoma"/>
                <w:b/>
                <w:lang w:val="sr-Cyrl-CS"/>
              </w:rPr>
              <w:t>:</w:t>
            </w:r>
            <w:r w:rsidR="008C3261" w:rsidRPr="00DA68BE">
              <w:rPr>
                <w:rFonts w:ascii="Tahoma" w:hAnsi="Tahoma" w:cs="Tahoma"/>
                <w:b/>
                <w:lang w:val="sr-Cyrl-CS"/>
              </w:rPr>
              <w:t xml:space="preserve"> </w:t>
            </w:r>
          </w:p>
        </w:tc>
      </w:tr>
      <w:tr w:rsidR="007811E3" w:rsidRPr="00075147" w:rsidTr="007811E3">
        <w:trPr>
          <w:trHeight w:hRule="exact" w:val="1418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811E3" w:rsidRPr="00CD2CBF" w:rsidRDefault="00541DAF" w:rsidP="007811E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7811E3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nacionalnih</w:t>
            </w:r>
            <w:r w:rsidR="005903C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računa</w:t>
            </w:r>
            <w:r w:rsidR="007811E3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7811E3" w:rsidRPr="007811E3" w:rsidRDefault="00541DAF" w:rsidP="007811E3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Milka</w:t>
            </w:r>
            <w:r w:rsidR="007811E3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Ciganović</w:t>
            </w:r>
          </w:p>
          <w:p w:rsidR="007811E3" w:rsidRDefault="00954CF1" w:rsidP="007811E3">
            <w:pPr>
              <w:rPr>
                <w:rFonts w:ascii="Tahoma" w:hAnsi="Tahoma" w:cs="Tahoma"/>
                <w:b/>
                <w:sz w:val="16"/>
              </w:rPr>
            </w:pPr>
            <w:hyperlink r:id="rId12" w:history="1"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milka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  <w:lang w:val="bs-Cyrl-BA"/>
                </w:rPr>
                <w:t>.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ciganovic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  <w:r w:rsidR="007811E3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7811E3" w:rsidRPr="006B1A71" w:rsidRDefault="00541DAF" w:rsidP="007811E3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Dijana</w:t>
            </w:r>
            <w:r w:rsidR="007811E3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Dedić</w:t>
            </w:r>
          </w:p>
          <w:p w:rsidR="007811E3" w:rsidRDefault="00954CF1" w:rsidP="007811E3">
            <w:pPr>
              <w:rPr>
                <w:rFonts w:ascii="Tahoma" w:hAnsi="Tahoma" w:cs="Tahoma"/>
                <w:b/>
                <w:sz w:val="16"/>
              </w:rPr>
            </w:pPr>
            <w:hyperlink r:id="rId13" w:history="1"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dijana.dedic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  <w:r w:rsidR="007811E3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7811E3" w:rsidRPr="007811E3" w:rsidRDefault="00541DAF" w:rsidP="007811E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Jadranka</w:t>
            </w:r>
            <w:r w:rsidR="007811E3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Luburić</w:t>
            </w:r>
          </w:p>
          <w:p w:rsidR="007811E3" w:rsidRDefault="00954CF1" w:rsidP="007811E3">
            <w:pPr>
              <w:rPr>
                <w:rFonts w:ascii="Tahoma" w:hAnsi="Tahoma" w:cs="Tahoma"/>
                <w:b/>
                <w:sz w:val="16"/>
              </w:rPr>
            </w:pPr>
            <w:hyperlink r:id="rId14" w:history="1"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jadranka.luburic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  <w:r w:rsidR="007811E3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7811E3" w:rsidRPr="007811E3" w:rsidRDefault="007811E3" w:rsidP="007811E3">
            <w:pPr>
              <w:rPr>
                <w:rFonts w:ascii="Tahoma" w:hAnsi="Tahoma" w:cs="Tahoma"/>
                <w:b/>
                <w:sz w:val="16"/>
              </w:rPr>
            </w:pPr>
          </w:p>
          <w:p w:rsidR="007811E3" w:rsidRPr="007811E3" w:rsidRDefault="007811E3" w:rsidP="007811E3">
            <w:pPr>
              <w:rPr>
                <w:rFonts w:ascii="Tahoma" w:hAnsi="Tahoma" w:cs="Tahoma"/>
                <w:b/>
                <w:sz w:val="16"/>
              </w:rPr>
            </w:pPr>
          </w:p>
          <w:p w:rsidR="007811E3" w:rsidRDefault="007811E3" w:rsidP="000F0E43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8C3261" w:rsidRPr="00075147" w:rsidTr="00256C51">
        <w:trPr>
          <w:trHeight w:hRule="exact"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CD2CBF" w:rsidRDefault="00541DAF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0F0E43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rada</w:t>
            </w:r>
            <w:r w:rsidR="000F0E43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0F0E43" w:rsidRPr="006B1A71" w:rsidRDefault="00541DAF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Danica</w:t>
            </w:r>
            <w:r w:rsidR="000F0E43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Babić</w:t>
            </w:r>
          </w:p>
          <w:p w:rsidR="000F0E43" w:rsidRPr="000A1737" w:rsidRDefault="00954CF1" w:rsidP="000F0E43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hyperlink r:id="rId15" w:history="1"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danica</w:t>
              </w:r>
              <w:r w:rsidR="000F0E43" w:rsidRPr="006B1A71">
                <w:rPr>
                  <w:rStyle w:val="Hyperlink"/>
                  <w:rFonts w:ascii="Tahoma" w:hAnsi="Tahoma" w:cs="Tahoma"/>
                  <w:sz w:val="16"/>
                  <w:lang w:val="bs-Cyrl-BA"/>
                </w:rPr>
                <w:t>.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babic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  <w:r w:rsidR="000F0E43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0F0E43" w:rsidRPr="006B1A71" w:rsidRDefault="000F0E43" w:rsidP="000F0E43">
            <w:pPr>
              <w:rPr>
                <w:rFonts w:ascii="Tahoma" w:hAnsi="Tahoma" w:cs="Tahoma"/>
                <w:sz w:val="16"/>
                <w:lang w:val="bs-Cyrl-BA"/>
              </w:rPr>
            </w:pPr>
          </w:p>
          <w:p w:rsidR="008C3261" w:rsidRPr="000F0E43" w:rsidRDefault="008C3261" w:rsidP="00542A21">
            <w:pPr>
              <w:rPr>
                <w:rFonts w:ascii="Tahoma" w:hAnsi="Tahoma" w:cs="Tahoma"/>
                <w:sz w:val="16"/>
                <w:lang w:val="bs-Cyrl-BA"/>
              </w:rPr>
            </w:pPr>
          </w:p>
          <w:p w:rsidR="008C3261" w:rsidRPr="00DA68BE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8C3261" w:rsidRPr="001431EA" w:rsidTr="008D6CFA">
        <w:trPr>
          <w:trHeight w:hRule="exact" w:val="7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CD2CBF" w:rsidRDefault="00541DAF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cijena</w:t>
            </w:r>
            <w:r w:rsidR="008C3261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Default="00541DAF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BA"/>
              </w:rPr>
              <w:t>Jasminka</w:t>
            </w:r>
            <w:r w:rsidR="008C3261" w:rsidRPr="00EC10CD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Milić</w:t>
            </w:r>
          </w:p>
          <w:p w:rsidR="008C3261" w:rsidRDefault="00954CF1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6" w:history="1"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jasminka</w:t>
              </w:r>
              <w:r w:rsidR="008C3261" w:rsidRPr="00B83328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milic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8C3261" w:rsidRPr="00CD2CB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1431EA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9217F1" w:rsidRDefault="00541DAF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industrije</w:t>
            </w:r>
            <w:r w:rsidR="008C3261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</w:t>
            </w:r>
            <w:r w:rsidR="008C3261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rudarstva</w:t>
            </w:r>
            <w:r w:rsidR="008C3261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CD7531" w:rsidRDefault="00541DAF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Mirjana</w:t>
            </w:r>
            <w:r w:rsidR="008D6CF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Bandur</w:t>
            </w:r>
          </w:p>
          <w:p w:rsidR="008C3261" w:rsidRDefault="00954CF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7" w:history="1"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mirjana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bandur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  <w:r w:rsidR="008C3261" w:rsidRPr="006E56EA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CD2CB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460A5B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CD2CBF" w:rsidRDefault="00541DAF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spoljne</w:t>
            </w:r>
            <w:r w:rsidR="008C3261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C3261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Default="00541DAF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Sanja</w:t>
            </w:r>
            <w:r w:rsidR="008C3261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Stojčević</w:t>
            </w:r>
          </w:p>
          <w:p w:rsidR="008C3261" w:rsidRDefault="00954CF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8" w:history="1"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sanja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stojcevic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8C3261" w:rsidRPr="00CD2CB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7811E3" w:rsidRPr="00460A5B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811E3" w:rsidRPr="00CD2CBF" w:rsidRDefault="00541DAF" w:rsidP="007811E3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7811E3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inovativnih</w:t>
            </w:r>
            <w:r w:rsidR="007811E3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aktivnosti</w:t>
            </w:r>
            <w:r w:rsidR="007811E3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7811E3" w:rsidRPr="007811E3" w:rsidRDefault="00541DAF" w:rsidP="007811E3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Dolores</w:t>
            </w:r>
            <w:r w:rsidR="007811E3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Peulić</w:t>
            </w:r>
          </w:p>
          <w:p w:rsidR="007811E3" w:rsidRDefault="00954CF1" w:rsidP="007811E3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9" w:history="1"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dolores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peulic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7811E3" w:rsidRPr="00F912E7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7811E3" w:rsidRDefault="007811E3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8D6CFA" w:rsidRPr="00460A5B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D6CFA" w:rsidRPr="00CD2CBF" w:rsidRDefault="00541DAF" w:rsidP="008D6CFA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D6CFA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unutrašnje</w:t>
            </w:r>
            <w:r w:rsidR="008D6CF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D6CFA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D6CFA" w:rsidRDefault="00541DAF" w:rsidP="008D6CFA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Sanela</w:t>
            </w:r>
            <w:r w:rsidR="008D6CF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Vasiljević</w:t>
            </w:r>
          </w:p>
          <w:p w:rsidR="008D6CFA" w:rsidRDefault="00954CF1" w:rsidP="008D6CFA">
            <w:pPr>
              <w:rPr>
                <w:rFonts w:ascii="Tahoma" w:hAnsi="Tahoma" w:cs="Tahoma"/>
                <w:sz w:val="16"/>
                <w:lang w:val="sr-Cyrl-BA"/>
              </w:rPr>
            </w:pPr>
            <w:hyperlink r:id="rId20" w:history="1"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sanela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vasiljevic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8D6CFA" w:rsidRDefault="008D6CFA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8D6CFA" w:rsidRPr="00460A5B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D6CFA" w:rsidRPr="00CD2CBF" w:rsidRDefault="00541DAF" w:rsidP="008D6CFA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D6CFA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turizma</w:t>
            </w:r>
            <w:r w:rsidR="008D6CFA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D6CFA" w:rsidRDefault="00541DAF" w:rsidP="008D6CFA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Miroslav</w:t>
            </w:r>
            <w:r w:rsidR="008D6CF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Ilić</w:t>
            </w:r>
          </w:p>
          <w:p w:rsidR="008D6CFA" w:rsidRDefault="00954CF1" w:rsidP="008D6CFA">
            <w:pPr>
              <w:rPr>
                <w:rFonts w:ascii="Tahoma" w:hAnsi="Tahoma" w:cs="Tahoma"/>
                <w:sz w:val="16"/>
                <w:lang w:val="sr-Cyrl-BA"/>
              </w:rPr>
            </w:pPr>
            <w:hyperlink r:id="rId21" w:history="1"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miroslav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ilic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8D6CFA" w:rsidRDefault="008D6CFA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</w:tbl>
    <w:p w:rsidR="008C3261" w:rsidRDefault="008C3261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A845F0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A68BE" w:rsidRDefault="00541DAF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OBJAŠNJENJA</w:t>
            </w:r>
            <w:r w:rsidR="008C3261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POJMOVA</w:t>
            </w:r>
          </w:p>
        </w:tc>
      </w:tr>
      <w:tr w:rsidR="008C3261" w:rsidRPr="00460A5B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9600A4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4962DD">
              <w:rPr>
                <w:rFonts w:ascii="Tahoma" w:hAnsi="Tahoma" w:cs="Tahoma"/>
                <w:b/>
                <w:bCs/>
              </w:rPr>
              <w:sym w:font="Symbol" w:char="00C6"/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9600A4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541DAF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prosjek</w:t>
            </w:r>
          </w:p>
        </w:tc>
      </w:tr>
    </w:tbl>
    <w:p w:rsidR="00A115B5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115B5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F2311A" w:rsidRDefault="00F2311A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2311A" w:rsidRDefault="00F2311A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2311A" w:rsidRPr="00F2311A" w:rsidRDefault="00F2311A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AF491D" w:rsidRDefault="00AF491D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F491D" w:rsidRDefault="00AF491D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F491D" w:rsidRDefault="00AF491D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F491D" w:rsidRDefault="00AF491D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F491D" w:rsidRDefault="00AF491D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F491D" w:rsidRDefault="00AF491D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F491D" w:rsidRDefault="00AF491D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F491D" w:rsidRDefault="00AF491D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F491D" w:rsidRDefault="00AF491D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F491D" w:rsidRDefault="00AF491D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F491D" w:rsidRDefault="00AF491D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F491D" w:rsidRDefault="00AF491D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460A5B" w:rsidRDefault="00954CF1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954CF1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711D85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711D85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711D85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711D85" w:rsidRDefault="00541DAF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</w:t>
            </w:r>
            <w:r>
              <w:rPr>
                <w:rFonts w:ascii="Tahoma" w:hAnsi="Tahoma" w:cs="Tahoma"/>
                <w:sz w:val="16"/>
              </w:rPr>
              <w:t>te</w:t>
            </w:r>
            <w:r>
              <w:rPr>
                <w:rFonts w:ascii="Tahoma" w:hAnsi="Tahoma" w:cs="Tahoma"/>
                <w:sz w:val="16"/>
                <w:lang w:val="sr-Cyrl-CS"/>
              </w:rPr>
              <w:t>nj</w:t>
            </w:r>
            <w:r>
              <w:rPr>
                <w:rFonts w:ascii="Tahoma" w:hAnsi="Tahoma" w:cs="Tahoma"/>
                <w:sz w:val="16"/>
              </w:rPr>
              <w:t>e</w:t>
            </w:r>
            <w:r w:rsidR="008C3261" w:rsidRPr="00711D85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pripremilo</w:t>
            </w:r>
            <w:r w:rsidR="008C3261" w:rsidRPr="00711D85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odjeljenje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publikacija</w:t>
            </w:r>
            <w:r w:rsidR="008C3261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</w:p>
        </w:tc>
      </w:tr>
      <w:tr w:rsidR="008C3261" w:rsidRPr="00B91055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711D85" w:rsidRDefault="00541DAF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Vladan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Sibinović</w:t>
            </w:r>
            <w:r w:rsidR="008C3261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načelnik</w:t>
            </w:r>
            <w:r w:rsidR="008C3261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odjeljenja</w:t>
            </w:r>
            <w:r w:rsidR="008C3261">
              <w:rPr>
                <w:rFonts w:ascii="Tahoma" w:hAnsi="Tahoma" w:cs="Tahoma"/>
                <w:sz w:val="16"/>
                <w:lang w:val="ru-RU"/>
              </w:rPr>
              <w:t xml:space="preserve"> </w:t>
            </w:r>
          </w:p>
          <w:p w:rsidR="008C3261" w:rsidRPr="00711D85" w:rsidRDefault="00541DAF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Izdaje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i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štampa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Republički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zavod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statistiku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8C3261" w:rsidRPr="00711D85" w:rsidRDefault="00541DAF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Republika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Srpska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Banja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Luka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Veljka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Mlađenovića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  <w:lang w:val="ru-RU"/>
              </w:rPr>
              <w:t>d</w:t>
            </w:r>
          </w:p>
          <w:p w:rsidR="008C3261" w:rsidRPr="00695E45" w:rsidRDefault="00541DAF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Dr</w:t>
            </w:r>
            <w:r w:rsidR="008C3261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Radmila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Čičković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d</w:t>
            </w:r>
            <w:r>
              <w:rPr>
                <w:rFonts w:ascii="Tahoma" w:hAnsi="Tahoma" w:cs="Tahoma"/>
                <w:sz w:val="16"/>
                <w:lang w:val="ru-RU"/>
              </w:rPr>
              <w:t>irektor</w:t>
            </w:r>
            <w:r w:rsidR="008C3261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Zavoda</w:t>
            </w:r>
          </w:p>
          <w:p w:rsidR="008C3261" w:rsidRPr="00711D85" w:rsidRDefault="00541DAF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Saopštenje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je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objavljeno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Internetu</w:t>
            </w:r>
            <w:r w:rsidR="008C3261">
              <w:rPr>
                <w:rFonts w:ascii="Tahoma" w:hAnsi="Tahoma" w:cs="Tahoma"/>
                <w:sz w:val="16"/>
                <w:lang w:val="sr-Cyrl-CS"/>
              </w:rPr>
              <w:t>,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adresi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: 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www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.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rzs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.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rs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.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ba</w:t>
            </w:r>
          </w:p>
          <w:p w:rsidR="008C3261" w:rsidRPr="00711D85" w:rsidRDefault="00541DAF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tel</w:t>
            </w:r>
            <w:r w:rsidR="008C3261" w:rsidRPr="00450CD5">
              <w:rPr>
                <w:rFonts w:ascii="Tahoma" w:hAnsi="Tahoma" w:cs="Tahoma"/>
                <w:sz w:val="16"/>
                <w:lang w:val="ru-RU"/>
              </w:rPr>
              <w:t>. +387 51</w:t>
            </w:r>
            <w:r w:rsidR="008C3261">
              <w:rPr>
                <w:rFonts w:ascii="Tahoma" w:hAnsi="Tahoma" w:cs="Tahoma"/>
                <w:sz w:val="16"/>
                <w:lang w:val="ru-RU"/>
              </w:rPr>
              <w:t> </w:t>
            </w:r>
            <w:r w:rsidR="008C3261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332 700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E</w:t>
            </w:r>
            <w:r w:rsidR="008C3261" w:rsidRPr="00450CD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-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mail</w:t>
            </w:r>
            <w:r w:rsidR="008C3261" w:rsidRPr="00450CD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: </w:t>
            </w:r>
            <w:hyperlink r:id="rId22" w:history="1">
              <w:r w:rsidR="008C3261" w:rsidRPr="0082638C">
                <w:rPr>
                  <w:rStyle w:val="Hyperlink"/>
                  <w:rFonts w:ascii="Tahoma" w:hAnsi="Tahoma" w:cs="Tahoma"/>
                  <w:sz w:val="16"/>
                  <w:szCs w:val="16"/>
                  <w:lang w:val="pt-BR"/>
                </w:rPr>
                <w:t>stat</w:t>
              </w:r>
              <w:r w:rsidR="008C3261" w:rsidRPr="00450CD5">
                <w:rPr>
                  <w:rStyle w:val="Hyperlink"/>
                  <w:rFonts w:ascii="Tahoma" w:hAnsi="Tahoma" w:cs="Tahoma"/>
                  <w:sz w:val="16"/>
                  <w:szCs w:val="16"/>
                  <w:lang w:val="ru-RU"/>
                </w:rPr>
                <w:t>@</w:t>
              </w:r>
              <w:r w:rsidR="008C3261" w:rsidRPr="0082638C">
                <w:rPr>
                  <w:rStyle w:val="Hyperlink"/>
                  <w:rFonts w:ascii="Tahoma" w:hAnsi="Tahoma" w:cs="Tahoma"/>
                  <w:sz w:val="16"/>
                  <w:szCs w:val="16"/>
                  <w:lang w:val="pt-BR"/>
                </w:rPr>
                <w:t>rzs</w:t>
              </w:r>
              <w:r w:rsidR="008C3261" w:rsidRPr="00450CD5">
                <w:rPr>
                  <w:rStyle w:val="Hyperlink"/>
                  <w:rFonts w:ascii="Tahoma" w:hAnsi="Tahoma" w:cs="Tahoma"/>
                  <w:sz w:val="16"/>
                  <w:szCs w:val="16"/>
                  <w:lang w:val="ru-RU"/>
                </w:rPr>
                <w:t>.</w:t>
              </w:r>
              <w:r w:rsidR="008C3261" w:rsidRPr="0082638C">
                <w:rPr>
                  <w:rStyle w:val="Hyperlink"/>
                  <w:rFonts w:ascii="Tahoma" w:hAnsi="Tahoma" w:cs="Tahoma"/>
                  <w:sz w:val="16"/>
                  <w:szCs w:val="16"/>
                  <w:lang w:val="pt-BR"/>
                </w:rPr>
                <w:t>rs</w:t>
              </w:r>
              <w:r w:rsidR="008C3261" w:rsidRPr="00450CD5">
                <w:rPr>
                  <w:rStyle w:val="Hyperlink"/>
                  <w:rFonts w:ascii="Tahoma" w:hAnsi="Tahoma" w:cs="Tahoma"/>
                  <w:sz w:val="16"/>
                  <w:szCs w:val="16"/>
                  <w:lang w:val="ru-RU"/>
                </w:rPr>
                <w:t>.</w:t>
              </w:r>
              <w:r w:rsidR="008C3261" w:rsidRPr="0082638C">
                <w:rPr>
                  <w:rStyle w:val="Hyperlink"/>
                  <w:rFonts w:ascii="Tahoma" w:hAnsi="Tahoma" w:cs="Tahoma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450CD5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711D85" w:rsidRDefault="00541DAF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Prilikom</w:t>
            </w:r>
            <w:r w:rsidR="008C3261"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koriš</w:t>
            </w:r>
            <w:r>
              <w:rPr>
                <w:rFonts w:ascii="Tahoma" w:hAnsi="Tahoma" w:cs="Tahoma"/>
                <w:b/>
                <w:bCs/>
                <w:sz w:val="16"/>
                <w:lang w:val="sr-Cyrl-CS"/>
              </w:rPr>
              <w:t>ć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enja</w:t>
            </w:r>
            <w:r w:rsidR="008C3261"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podataka</w:t>
            </w:r>
            <w:r w:rsidR="008C3261"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obavezno</w:t>
            </w:r>
            <w:r w:rsidR="008C3261"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navesti</w:t>
            </w:r>
            <w:r w:rsidR="008C3261"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izvor</w:t>
            </w:r>
          </w:p>
        </w:tc>
      </w:tr>
    </w:tbl>
    <w:p w:rsidR="008C3261" w:rsidRDefault="00954CF1" w:rsidP="008C3261">
      <w:pPr>
        <w:rPr>
          <w:lang w:val="sr-Cyrl-BA"/>
        </w:rPr>
      </w:pPr>
      <w:r w:rsidRPr="00954CF1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Default="00657939" w:rsidP="008C3261">
      <w:pPr>
        <w:rPr>
          <w:lang w:val="sr-Cyrl-BA"/>
        </w:rPr>
      </w:pPr>
    </w:p>
    <w:sectPr w:rsidR="00657939" w:rsidSect="005D5311">
      <w:headerReference w:type="default" r:id="rId23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ED" w:rsidRDefault="00DD42ED">
      <w:r>
        <w:separator/>
      </w:r>
    </w:p>
  </w:endnote>
  <w:endnote w:type="continuationSeparator" w:id="0">
    <w:p w:rsidR="00DD42ED" w:rsidRDefault="00DD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ED" w:rsidRDefault="00DD42ED">
      <w:r>
        <w:separator/>
      </w:r>
    </w:p>
  </w:footnote>
  <w:footnote w:type="continuationSeparator" w:id="0">
    <w:p w:rsidR="00DD42ED" w:rsidRDefault="00DD4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F4528D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4528D" w:rsidRPr="00541DAF" w:rsidRDefault="00541DAF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Latn-CS"/>
            </w:rPr>
          </w:pPr>
          <w:r>
            <w:rPr>
              <w:rFonts w:ascii="Tahoma" w:hAnsi="Tahoma" w:cs="Tahoma"/>
              <w:b/>
              <w:color w:val="FFFFFF"/>
              <w:sz w:val="16"/>
              <w:szCs w:val="16"/>
              <w:lang w:val="sr-Latn-CS"/>
            </w:rPr>
            <w:t>Republički zavod za statistiku</w:t>
          </w:r>
        </w:p>
        <w:p w:rsidR="00F4528D" w:rsidRPr="00541DAF" w:rsidRDefault="00541DAF" w:rsidP="00E34FA2">
          <w:pPr>
            <w:pStyle w:val="Header"/>
            <w:rPr>
              <w:color w:val="FFFFFF"/>
              <w:lang w:val="sr-Latn-CS"/>
            </w:rPr>
          </w:pPr>
          <w:r>
            <w:rPr>
              <w:rFonts w:ascii="Tahoma" w:hAnsi="Tahoma" w:cs="Tahoma"/>
              <w:b/>
              <w:color w:val="FFFFFF"/>
              <w:lang w:val="sr-Latn-CS"/>
            </w:rPr>
            <w:t>SAOPŠTENJE ZA MEDIJE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4528D" w:rsidRPr="005D5311" w:rsidRDefault="00F4528D" w:rsidP="00541DAF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</w:t>
          </w:r>
          <w:r w:rsidR="00C01474">
            <w:rPr>
              <w:rFonts w:ascii="Tahoma" w:hAnsi="Tahoma" w:cs="Tahoma"/>
              <w:color w:val="0070C0"/>
              <w:sz w:val="16"/>
              <w:lang w:val="sr-Cyrl-BA"/>
            </w:rPr>
            <w:t>8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 xml:space="preserve">. </w:t>
          </w:r>
          <w:r w:rsidR="00541DAF">
            <w:rPr>
              <w:rFonts w:ascii="Tahoma" w:hAnsi="Tahoma" w:cs="Tahoma"/>
              <w:color w:val="0070C0"/>
              <w:sz w:val="16"/>
              <w:lang w:val="sr-Latn-CS"/>
            </w:rPr>
            <w:t>jul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</w:rPr>
            <w:t>1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07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 w:rsidR="00954CF1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954CF1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541DAF">
            <w:rPr>
              <w:rStyle w:val="PageNumber"/>
              <w:rFonts w:ascii="Tahoma" w:hAnsi="Tahoma"/>
              <w:b/>
              <w:noProof/>
              <w:color w:val="0070C0"/>
            </w:rPr>
            <w:t>6</w:t>
          </w:r>
          <w:r w:rsidR="00954CF1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F4528D" w:rsidRDefault="00954CF1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954CF1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99F"/>
    <w:rsid w:val="000260ED"/>
    <w:rsid w:val="00026206"/>
    <w:rsid w:val="00026529"/>
    <w:rsid w:val="000266D0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50308"/>
    <w:rsid w:val="00050457"/>
    <w:rsid w:val="00051051"/>
    <w:rsid w:val="00051B7E"/>
    <w:rsid w:val="00051C70"/>
    <w:rsid w:val="00052187"/>
    <w:rsid w:val="00052327"/>
    <w:rsid w:val="00052AA1"/>
    <w:rsid w:val="00053FAA"/>
    <w:rsid w:val="000542A7"/>
    <w:rsid w:val="0005459B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307B"/>
    <w:rsid w:val="000B3187"/>
    <w:rsid w:val="000B31F2"/>
    <w:rsid w:val="000B3234"/>
    <w:rsid w:val="000B3778"/>
    <w:rsid w:val="000B3FE7"/>
    <w:rsid w:val="000B4D34"/>
    <w:rsid w:val="000B61B1"/>
    <w:rsid w:val="000B62D8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E52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58F4"/>
    <w:rsid w:val="000D6225"/>
    <w:rsid w:val="000D6478"/>
    <w:rsid w:val="000D64AC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938"/>
    <w:rsid w:val="001170A3"/>
    <w:rsid w:val="00120CF2"/>
    <w:rsid w:val="00120DC7"/>
    <w:rsid w:val="00121006"/>
    <w:rsid w:val="001212B2"/>
    <w:rsid w:val="00121D87"/>
    <w:rsid w:val="00121D96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7C99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B6A"/>
    <w:rsid w:val="00162629"/>
    <w:rsid w:val="00163A9B"/>
    <w:rsid w:val="00164E59"/>
    <w:rsid w:val="001655F9"/>
    <w:rsid w:val="001658E6"/>
    <w:rsid w:val="001658F6"/>
    <w:rsid w:val="00165FE9"/>
    <w:rsid w:val="00167333"/>
    <w:rsid w:val="001700D8"/>
    <w:rsid w:val="001702DD"/>
    <w:rsid w:val="001704AA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164F"/>
    <w:rsid w:val="001A1708"/>
    <w:rsid w:val="001A1B78"/>
    <w:rsid w:val="001A2C11"/>
    <w:rsid w:val="001A2F5F"/>
    <w:rsid w:val="001A35D4"/>
    <w:rsid w:val="001A3906"/>
    <w:rsid w:val="001A4B3B"/>
    <w:rsid w:val="001A4DFA"/>
    <w:rsid w:val="001A514E"/>
    <w:rsid w:val="001A66C4"/>
    <w:rsid w:val="001A694C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5A80"/>
    <w:rsid w:val="001B63FD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2A95"/>
    <w:rsid w:val="001D32FB"/>
    <w:rsid w:val="001D3B70"/>
    <w:rsid w:val="001D464D"/>
    <w:rsid w:val="001D4B40"/>
    <w:rsid w:val="001D4F92"/>
    <w:rsid w:val="001D5564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630"/>
    <w:rsid w:val="001F64A6"/>
    <w:rsid w:val="001F6806"/>
    <w:rsid w:val="001F72B8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5062"/>
    <w:rsid w:val="00205492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7410"/>
    <w:rsid w:val="00270462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B94"/>
    <w:rsid w:val="00282901"/>
    <w:rsid w:val="00282F33"/>
    <w:rsid w:val="0028333A"/>
    <w:rsid w:val="002833DF"/>
    <w:rsid w:val="00284362"/>
    <w:rsid w:val="00284583"/>
    <w:rsid w:val="002846F8"/>
    <w:rsid w:val="00284ED6"/>
    <w:rsid w:val="00285ABF"/>
    <w:rsid w:val="00286541"/>
    <w:rsid w:val="00286BE3"/>
    <w:rsid w:val="00286F2A"/>
    <w:rsid w:val="0028723A"/>
    <w:rsid w:val="002874ED"/>
    <w:rsid w:val="00287980"/>
    <w:rsid w:val="00287BDB"/>
    <w:rsid w:val="00290C08"/>
    <w:rsid w:val="002912C8"/>
    <w:rsid w:val="00291470"/>
    <w:rsid w:val="00291B43"/>
    <w:rsid w:val="00291DDA"/>
    <w:rsid w:val="002930F7"/>
    <w:rsid w:val="00293698"/>
    <w:rsid w:val="00293728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2D25"/>
    <w:rsid w:val="002A2D6C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12EA"/>
    <w:rsid w:val="002B16A4"/>
    <w:rsid w:val="002B1FEF"/>
    <w:rsid w:val="002B2333"/>
    <w:rsid w:val="002B2749"/>
    <w:rsid w:val="002B39A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61A6"/>
    <w:rsid w:val="002E651F"/>
    <w:rsid w:val="002E66C9"/>
    <w:rsid w:val="002E6C7D"/>
    <w:rsid w:val="002E72E4"/>
    <w:rsid w:val="002E79F1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5FD"/>
    <w:rsid w:val="003477B5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C0A"/>
    <w:rsid w:val="00380EA5"/>
    <w:rsid w:val="003825AD"/>
    <w:rsid w:val="003829AC"/>
    <w:rsid w:val="00383BEF"/>
    <w:rsid w:val="003847DE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E4"/>
    <w:rsid w:val="00403492"/>
    <w:rsid w:val="00403539"/>
    <w:rsid w:val="00403DE5"/>
    <w:rsid w:val="0040451D"/>
    <w:rsid w:val="00404CCD"/>
    <w:rsid w:val="00404CD2"/>
    <w:rsid w:val="00405C30"/>
    <w:rsid w:val="004075AA"/>
    <w:rsid w:val="0040787F"/>
    <w:rsid w:val="00407963"/>
    <w:rsid w:val="00407BAF"/>
    <w:rsid w:val="00407EBD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D82"/>
    <w:rsid w:val="004272AF"/>
    <w:rsid w:val="004278E9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17E5"/>
    <w:rsid w:val="00492216"/>
    <w:rsid w:val="00492A01"/>
    <w:rsid w:val="00492D51"/>
    <w:rsid w:val="00492EF8"/>
    <w:rsid w:val="00493097"/>
    <w:rsid w:val="00493B19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F9D"/>
    <w:rsid w:val="004C2680"/>
    <w:rsid w:val="004C277B"/>
    <w:rsid w:val="004C27BF"/>
    <w:rsid w:val="004C2910"/>
    <w:rsid w:val="004C2B3F"/>
    <w:rsid w:val="004C2E68"/>
    <w:rsid w:val="004C3325"/>
    <w:rsid w:val="004C40CC"/>
    <w:rsid w:val="004C52F7"/>
    <w:rsid w:val="004C54CD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B70"/>
    <w:rsid w:val="0051445D"/>
    <w:rsid w:val="00514AEF"/>
    <w:rsid w:val="00515A72"/>
    <w:rsid w:val="00515B71"/>
    <w:rsid w:val="00516328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F93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BA"/>
    <w:rsid w:val="00540FDE"/>
    <w:rsid w:val="00541A13"/>
    <w:rsid w:val="00541D29"/>
    <w:rsid w:val="00541DAF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228C"/>
    <w:rsid w:val="00552635"/>
    <w:rsid w:val="00552702"/>
    <w:rsid w:val="00552F07"/>
    <w:rsid w:val="0055398D"/>
    <w:rsid w:val="00553BE9"/>
    <w:rsid w:val="005540B3"/>
    <w:rsid w:val="005541DB"/>
    <w:rsid w:val="00554BC4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74"/>
    <w:rsid w:val="00557E67"/>
    <w:rsid w:val="005604A5"/>
    <w:rsid w:val="00560BDF"/>
    <w:rsid w:val="00561AA3"/>
    <w:rsid w:val="005625D1"/>
    <w:rsid w:val="0056310F"/>
    <w:rsid w:val="0056314D"/>
    <w:rsid w:val="0056390F"/>
    <w:rsid w:val="00563D38"/>
    <w:rsid w:val="00563EEC"/>
    <w:rsid w:val="00564204"/>
    <w:rsid w:val="00564A89"/>
    <w:rsid w:val="00564C0D"/>
    <w:rsid w:val="00565126"/>
    <w:rsid w:val="005651B6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B0E0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36"/>
    <w:rsid w:val="005D7154"/>
    <w:rsid w:val="005D777F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703E"/>
    <w:rsid w:val="005E790C"/>
    <w:rsid w:val="005F0733"/>
    <w:rsid w:val="005F0A6A"/>
    <w:rsid w:val="005F0A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74B0"/>
    <w:rsid w:val="005F7AFC"/>
    <w:rsid w:val="006000B3"/>
    <w:rsid w:val="00600C85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D48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6E1"/>
    <w:rsid w:val="0065131E"/>
    <w:rsid w:val="00651DDC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525"/>
    <w:rsid w:val="00665E25"/>
    <w:rsid w:val="00666AD9"/>
    <w:rsid w:val="00666BEA"/>
    <w:rsid w:val="006670C1"/>
    <w:rsid w:val="006671E8"/>
    <w:rsid w:val="00667330"/>
    <w:rsid w:val="00667BF9"/>
    <w:rsid w:val="006707F0"/>
    <w:rsid w:val="00670E6E"/>
    <w:rsid w:val="0067124E"/>
    <w:rsid w:val="00671BCE"/>
    <w:rsid w:val="00672866"/>
    <w:rsid w:val="0067319A"/>
    <w:rsid w:val="006732F7"/>
    <w:rsid w:val="00673764"/>
    <w:rsid w:val="00676268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56A4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D0F"/>
    <w:rsid w:val="0069331D"/>
    <w:rsid w:val="00693412"/>
    <w:rsid w:val="006935B5"/>
    <w:rsid w:val="00693F16"/>
    <w:rsid w:val="0069537C"/>
    <w:rsid w:val="006954BC"/>
    <w:rsid w:val="00695711"/>
    <w:rsid w:val="00695E45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7A5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D0CE1"/>
    <w:rsid w:val="006D0D39"/>
    <w:rsid w:val="006D0F0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D85"/>
    <w:rsid w:val="007131A6"/>
    <w:rsid w:val="0071323E"/>
    <w:rsid w:val="00714EA2"/>
    <w:rsid w:val="0071698A"/>
    <w:rsid w:val="00716A5F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734F"/>
    <w:rsid w:val="0074070A"/>
    <w:rsid w:val="00740A1A"/>
    <w:rsid w:val="00741994"/>
    <w:rsid w:val="00741A96"/>
    <w:rsid w:val="007420FC"/>
    <w:rsid w:val="00742658"/>
    <w:rsid w:val="0074280D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A27"/>
    <w:rsid w:val="00790DC3"/>
    <w:rsid w:val="00791257"/>
    <w:rsid w:val="00792F81"/>
    <w:rsid w:val="00793D18"/>
    <w:rsid w:val="007942AC"/>
    <w:rsid w:val="0079483D"/>
    <w:rsid w:val="0079506E"/>
    <w:rsid w:val="0079515E"/>
    <w:rsid w:val="007958A8"/>
    <w:rsid w:val="007959B9"/>
    <w:rsid w:val="0079603A"/>
    <w:rsid w:val="007962A4"/>
    <w:rsid w:val="00796537"/>
    <w:rsid w:val="007971C5"/>
    <w:rsid w:val="007973DA"/>
    <w:rsid w:val="00797D41"/>
    <w:rsid w:val="007A058B"/>
    <w:rsid w:val="007A100A"/>
    <w:rsid w:val="007A1E1B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50E0"/>
    <w:rsid w:val="007A52AC"/>
    <w:rsid w:val="007A61EB"/>
    <w:rsid w:val="007A6675"/>
    <w:rsid w:val="007A68D2"/>
    <w:rsid w:val="007A6BE5"/>
    <w:rsid w:val="007A6D3F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344"/>
    <w:rsid w:val="007B3D5E"/>
    <w:rsid w:val="007B56FD"/>
    <w:rsid w:val="007B607A"/>
    <w:rsid w:val="007B69A0"/>
    <w:rsid w:val="007C0828"/>
    <w:rsid w:val="007C09B7"/>
    <w:rsid w:val="007C0BB1"/>
    <w:rsid w:val="007C0C7B"/>
    <w:rsid w:val="007C1316"/>
    <w:rsid w:val="007C1E1A"/>
    <w:rsid w:val="007C1ECD"/>
    <w:rsid w:val="007C302C"/>
    <w:rsid w:val="007C3E1C"/>
    <w:rsid w:val="007C4D74"/>
    <w:rsid w:val="007C61BD"/>
    <w:rsid w:val="007C6377"/>
    <w:rsid w:val="007C6C1C"/>
    <w:rsid w:val="007C7305"/>
    <w:rsid w:val="007C78CC"/>
    <w:rsid w:val="007C79B5"/>
    <w:rsid w:val="007C7ED9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F011B"/>
    <w:rsid w:val="007F04AC"/>
    <w:rsid w:val="007F0665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C6D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6D9"/>
    <w:rsid w:val="00854848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703"/>
    <w:rsid w:val="008615D1"/>
    <w:rsid w:val="008627D4"/>
    <w:rsid w:val="00862973"/>
    <w:rsid w:val="00863B68"/>
    <w:rsid w:val="00864355"/>
    <w:rsid w:val="0086454C"/>
    <w:rsid w:val="00864B70"/>
    <w:rsid w:val="00864ED9"/>
    <w:rsid w:val="00865485"/>
    <w:rsid w:val="0086589A"/>
    <w:rsid w:val="0086599A"/>
    <w:rsid w:val="00866BF5"/>
    <w:rsid w:val="00866C3C"/>
    <w:rsid w:val="00866F37"/>
    <w:rsid w:val="00870428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47F"/>
    <w:rsid w:val="00877623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3410"/>
    <w:rsid w:val="008B43A9"/>
    <w:rsid w:val="008B4731"/>
    <w:rsid w:val="008B5B04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61E4"/>
    <w:rsid w:val="008C642C"/>
    <w:rsid w:val="008C7425"/>
    <w:rsid w:val="008C7C3A"/>
    <w:rsid w:val="008C7CB0"/>
    <w:rsid w:val="008C7D4D"/>
    <w:rsid w:val="008D0116"/>
    <w:rsid w:val="008D0486"/>
    <w:rsid w:val="008D15CA"/>
    <w:rsid w:val="008D1E0F"/>
    <w:rsid w:val="008D265B"/>
    <w:rsid w:val="008D2971"/>
    <w:rsid w:val="008D2ED9"/>
    <w:rsid w:val="008D2EF5"/>
    <w:rsid w:val="008D3072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10364"/>
    <w:rsid w:val="00910445"/>
    <w:rsid w:val="00910DAB"/>
    <w:rsid w:val="00910EB4"/>
    <w:rsid w:val="009112C5"/>
    <w:rsid w:val="009113D2"/>
    <w:rsid w:val="0091210F"/>
    <w:rsid w:val="009121A3"/>
    <w:rsid w:val="009124D0"/>
    <w:rsid w:val="00912621"/>
    <w:rsid w:val="00912C02"/>
    <w:rsid w:val="00912DD7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15D1"/>
    <w:rsid w:val="00921843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A19"/>
    <w:rsid w:val="0094784D"/>
    <w:rsid w:val="00947C89"/>
    <w:rsid w:val="0095037B"/>
    <w:rsid w:val="00950884"/>
    <w:rsid w:val="00950D8B"/>
    <w:rsid w:val="0095100C"/>
    <w:rsid w:val="00951600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CF1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5774"/>
    <w:rsid w:val="0096603A"/>
    <w:rsid w:val="009664A6"/>
    <w:rsid w:val="0096670C"/>
    <w:rsid w:val="00966C2B"/>
    <w:rsid w:val="00967682"/>
    <w:rsid w:val="00967B26"/>
    <w:rsid w:val="0097122C"/>
    <w:rsid w:val="0097159D"/>
    <w:rsid w:val="00971631"/>
    <w:rsid w:val="00971A6E"/>
    <w:rsid w:val="00971D6B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4E"/>
    <w:rsid w:val="00992EDA"/>
    <w:rsid w:val="00992F5D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DF"/>
    <w:rsid w:val="009B3927"/>
    <w:rsid w:val="009B3B15"/>
    <w:rsid w:val="009B3D8C"/>
    <w:rsid w:val="009B5639"/>
    <w:rsid w:val="009B5CEE"/>
    <w:rsid w:val="009B5D97"/>
    <w:rsid w:val="009B5F5D"/>
    <w:rsid w:val="009B64C3"/>
    <w:rsid w:val="009B7269"/>
    <w:rsid w:val="009B758A"/>
    <w:rsid w:val="009B7598"/>
    <w:rsid w:val="009C0046"/>
    <w:rsid w:val="009C0055"/>
    <w:rsid w:val="009C009E"/>
    <w:rsid w:val="009C0442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8C4"/>
    <w:rsid w:val="009F5D5E"/>
    <w:rsid w:val="009F60D0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E13"/>
    <w:rsid w:val="00A141CF"/>
    <w:rsid w:val="00A141F5"/>
    <w:rsid w:val="00A143C8"/>
    <w:rsid w:val="00A1455F"/>
    <w:rsid w:val="00A14E4F"/>
    <w:rsid w:val="00A15614"/>
    <w:rsid w:val="00A15E0A"/>
    <w:rsid w:val="00A169B0"/>
    <w:rsid w:val="00A16D99"/>
    <w:rsid w:val="00A172DD"/>
    <w:rsid w:val="00A17508"/>
    <w:rsid w:val="00A17A64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4453"/>
    <w:rsid w:val="00A25076"/>
    <w:rsid w:val="00A25AF6"/>
    <w:rsid w:val="00A262E4"/>
    <w:rsid w:val="00A26E1C"/>
    <w:rsid w:val="00A26EC5"/>
    <w:rsid w:val="00A27172"/>
    <w:rsid w:val="00A271DE"/>
    <w:rsid w:val="00A272EA"/>
    <w:rsid w:val="00A27B9C"/>
    <w:rsid w:val="00A27E85"/>
    <w:rsid w:val="00A30129"/>
    <w:rsid w:val="00A30B7A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64C3"/>
    <w:rsid w:val="00A3686C"/>
    <w:rsid w:val="00A36F9B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7C7E"/>
    <w:rsid w:val="00A6131A"/>
    <w:rsid w:val="00A616ED"/>
    <w:rsid w:val="00A6234A"/>
    <w:rsid w:val="00A623FC"/>
    <w:rsid w:val="00A62438"/>
    <w:rsid w:val="00A634E5"/>
    <w:rsid w:val="00A63DD1"/>
    <w:rsid w:val="00A63FB1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716F"/>
    <w:rsid w:val="00A6760F"/>
    <w:rsid w:val="00A7261D"/>
    <w:rsid w:val="00A72757"/>
    <w:rsid w:val="00A727AE"/>
    <w:rsid w:val="00A72B00"/>
    <w:rsid w:val="00A72CF6"/>
    <w:rsid w:val="00A74B2E"/>
    <w:rsid w:val="00A74C06"/>
    <w:rsid w:val="00A751FF"/>
    <w:rsid w:val="00A753E4"/>
    <w:rsid w:val="00A76142"/>
    <w:rsid w:val="00A7723A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A0C"/>
    <w:rsid w:val="00A9159B"/>
    <w:rsid w:val="00A91994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1D7"/>
    <w:rsid w:val="00AA476F"/>
    <w:rsid w:val="00AA4849"/>
    <w:rsid w:val="00AA4AE9"/>
    <w:rsid w:val="00AA4FC9"/>
    <w:rsid w:val="00AA6B84"/>
    <w:rsid w:val="00AA7691"/>
    <w:rsid w:val="00AA769A"/>
    <w:rsid w:val="00AA776C"/>
    <w:rsid w:val="00AA77AD"/>
    <w:rsid w:val="00AB0B15"/>
    <w:rsid w:val="00AB0B61"/>
    <w:rsid w:val="00AB0E15"/>
    <w:rsid w:val="00AB1044"/>
    <w:rsid w:val="00AB1386"/>
    <w:rsid w:val="00AB1D8D"/>
    <w:rsid w:val="00AB1EE5"/>
    <w:rsid w:val="00AB26FC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246F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C00"/>
    <w:rsid w:val="00B17828"/>
    <w:rsid w:val="00B2050F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475"/>
    <w:rsid w:val="00B326E0"/>
    <w:rsid w:val="00B3288E"/>
    <w:rsid w:val="00B32A00"/>
    <w:rsid w:val="00B32C19"/>
    <w:rsid w:val="00B333F9"/>
    <w:rsid w:val="00B3377C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60E"/>
    <w:rsid w:val="00B554E5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BAD"/>
    <w:rsid w:val="00B91EAC"/>
    <w:rsid w:val="00B92EA8"/>
    <w:rsid w:val="00B934F2"/>
    <w:rsid w:val="00B93A16"/>
    <w:rsid w:val="00B93B9F"/>
    <w:rsid w:val="00B9531E"/>
    <w:rsid w:val="00B958E2"/>
    <w:rsid w:val="00B96261"/>
    <w:rsid w:val="00B96381"/>
    <w:rsid w:val="00B97493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122C"/>
    <w:rsid w:val="00BB14BF"/>
    <w:rsid w:val="00BB3429"/>
    <w:rsid w:val="00BB356F"/>
    <w:rsid w:val="00BB3BE7"/>
    <w:rsid w:val="00BB3D3A"/>
    <w:rsid w:val="00BB3F7A"/>
    <w:rsid w:val="00BB4879"/>
    <w:rsid w:val="00BB5143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3FB"/>
    <w:rsid w:val="00BC6ABE"/>
    <w:rsid w:val="00BC6E3E"/>
    <w:rsid w:val="00BC7A26"/>
    <w:rsid w:val="00BD0220"/>
    <w:rsid w:val="00BD03A0"/>
    <w:rsid w:val="00BD0DA9"/>
    <w:rsid w:val="00BD0DF7"/>
    <w:rsid w:val="00BD0E71"/>
    <w:rsid w:val="00BD194D"/>
    <w:rsid w:val="00BD1D62"/>
    <w:rsid w:val="00BD203F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10B5"/>
    <w:rsid w:val="00BF138B"/>
    <w:rsid w:val="00BF17B5"/>
    <w:rsid w:val="00BF19F3"/>
    <w:rsid w:val="00BF1BB8"/>
    <w:rsid w:val="00BF2289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633B"/>
    <w:rsid w:val="00C26A82"/>
    <w:rsid w:val="00C2791F"/>
    <w:rsid w:val="00C2793B"/>
    <w:rsid w:val="00C300B6"/>
    <w:rsid w:val="00C304D8"/>
    <w:rsid w:val="00C31096"/>
    <w:rsid w:val="00C311D9"/>
    <w:rsid w:val="00C31E88"/>
    <w:rsid w:val="00C31EA4"/>
    <w:rsid w:val="00C3270A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CF4"/>
    <w:rsid w:val="00C37D98"/>
    <w:rsid w:val="00C4188A"/>
    <w:rsid w:val="00C42758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45D0"/>
    <w:rsid w:val="00C45299"/>
    <w:rsid w:val="00C45599"/>
    <w:rsid w:val="00C45DD5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FDB"/>
    <w:rsid w:val="00C5414C"/>
    <w:rsid w:val="00C54EBD"/>
    <w:rsid w:val="00C55982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91E"/>
    <w:rsid w:val="00C626FB"/>
    <w:rsid w:val="00C62B3B"/>
    <w:rsid w:val="00C631D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D30"/>
    <w:rsid w:val="00C734F7"/>
    <w:rsid w:val="00C74115"/>
    <w:rsid w:val="00C7474D"/>
    <w:rsid w:val="00C74912"/>
    <w:rsid w:val="00C756BF"/>
    <w:rsid w:val="00C75E48"/>
    <w:rsid w:val="00C75F70"/>
    <w:rsid w:val="00C76E79"/>
    <w:rsid w:val="00C77529"/>
    <w:rsid w:val="00C778A3"/>
    <w:rsid w:val="00C77B68"/>
    <w:rsid w:val="00C800BA"/>
    <w:rsid w:val="00C80AD4"/>
    <w:rsid w:val="00C80EAE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717"/>
    <w:rsid w:val="00CA0E55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3D4"/>
    <w:rsid w:val="00CC65BD"/>
    <w:rsid w:val="00CC7772"/>
    <w:rsid w:val="00CC7FFA"/>
    <w:rsid w:val="00CD00B1"/>
    <w:rsid w:val="00CD036C"/>
    <w:rsid w:val="00CD0775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3319"/>
    <w:rsid w:val="00CE38CF"/>
    <w:rsid w:val="00CE3F24"/>
    <w:rsid w:val="00CE42ED"/>
    <w:rsid w:val="00CE45A8"/>
    <w:rsid w:val="00CE46F1"/>
    <w:rsid w:val="00CE4B5F"/>
    <w:rsid w:val="00CE4F32"/>
    <w:rsid w:val="00CE55C4"/>
    <w:rsid w:val="00CE5D47"/>
    <w:rsid w:val="00CE606D"/>
    <w:rsid w:val="00CE611E"/>
    <w:rsid w:val="00CE630B"/>
    <w:rsid w:val="00CE6A9D"/>
    <w:rsid w:val="00CE7059"/>
    <w:rsid w:val="00CF0948"/>
    <w:rsid w:val="00CF0C19"/>
    <w:rsid w:val="00CF1D6A"/>
    <w:rsid w:val="00CF2564"/>
    <w:rsid w:val="00CF2851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D2E"/>
    <w:rsid w:val="00D12C91"/>
    <w:rsid w:val="00D12D80"/>
    <w:rsid w:val="00D1363F"/>
    <w:rsid w:val="00D13C9E"/>
    <w:rsid w:val="00D13CB3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780"/>
    <w:rsid w:val="00D40A54"/>
    <w:rsid w:val="00D41030"/>
    <w:rsid w:val="00D41F10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BA5"/>
    <w:rsid w:val="00D53FEA"/>
    <w:rsid w:val="00D5424E"/>
    <w:rsid w:val="00D54648"/>
    <w:rsid w:val="00D54A0F"/>
    <w:rsid w:val="00D55103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EA"/>
    <w:rsid w:val="00D62936"/>
    <w:rsid w:val="00D62CA7"/>
    <w:rsid w:val="00D62CE0"/>
    <w:rsid w:val="00D63413"/>
    <w:rsid w:val="00D63625"/>
    <w:rsid w:val="00D63A26"/>
    <w:rsid w:val="00D64CB7"/>
    <w:rsid w:val="00D652E3"/>
    <w:rsid w:val="00D6567D"/>
    <w:rsid w:val="00D65EEE"/>
    <w:rsid w:val="00D667E3"/>
    <w:rsid w:val="00D66D5B"/>
    <w:rsid w:val="00D676B4"/>
    <w:rsid w:val="00D67E90"/>
    <w:rsid w:val="00D67F95"/>
    <w:rsid w:val="00D7028F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E93"/>
    <w:rsid w:val="00D81EC9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C49"/>
    <w:rsid w:val="00DB5368"/>
    <w:rsid w:val="00DB5BA5"/>
    <w:rsid w:val="00DB5CE5"/>
    <w:rsid w:val="00DB5F01"/>
    <w:rsid w:val="00DB6CA0"/>
    <w:rsid w:val="00DB6FEB"/>
    <w:rsid w:val="00DB7AE9"/>
    <w:rsid w:val="00DB7E0B"/>
    <w:rsid w:val="00DC02C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7516"/>
    <w:rsid w:val="00DC751F"/>
    <w:rsid w:val="00DC7BD5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840"/>
    <w:rsid w:val="00E02DC6"/>
    <w:rsid w:val="00E02ED8"/>
    <w:rsid w:val="00E032B0"/>
    <w:rsid w:val="00E03E36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E9D"/>
    <w:rsid w:val="00E22772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D99"/>
    <w:rsid w:val="00E550C5"/>
    <w:rsid w:val="00E55551"/>
    <w:rsid w:val="00E55BEC"/>
    <w:rsid w:val="00E5625B"/>
    <w:rsid w:val="00E56365"/>
    <w:rsid w:val="00E5667D"/>
    <w:rsid w:val="00E5745A"/>
    <w:rsid w:val="00E578C7"/>
    <w:rsid w:val="00E57D62"/>
    <w:rsid w:val="00E60341"/>
    <w:rsid w:val="00E60445"/>
    <w:rsid w:val="00E60848"/>
    <w:rsid w:val="00E60BB0"/>
    <w:rsid w:val="00E6143A"/>
    <w:rsid w:val="00E6176F"/>
    <w:rsid w:val="00E62140"/>
    <w:rsid w:val="00E6295C"/>
    <w:rsid w:val="00E6487A"/>
    <w:rsid w:val="00E65C83"/>
    <w:rsid w:val="00E6605F"/>
    <w:rsid w:val="00E66060"/>
    <w:rsid w:val="00E66322"/>
    <w:rsid w:val="00E66499"/>
    <w:rsid w:val="00E665DE"/>
    <w:rsid w:val="00E66758"/>
    <w:rsid w:val="00E669E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AD4"/>
    <w:rsid w:val="00E85CD4"/>
    <w:rsid w:val="00E871B9"/>
    <w:rsid w:val="00E87DEE"/>
    <w:rsid w:val="00E906D2"/>
    <w:rsid w:val="00E913FB"/>
    <w:rsid w:val="00E91AF9"/>
    <w:rsid w:val="00E92377"/>
    <w:rsid w:val="00E92CD5"/>
    <w:rsid w:val="00E93207"/>
    <w:rsid w:val="00E9344D"/>
    <w:rsid w:val="00E93C29"/>
    <w:rsid w:val="00E94581"/>
    <w:rsid w:val="00E94DCB"/>
    <w:rsid w:val="00E94FBE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77E"/>
    <w:rsid w:val="00EB1C9A"/>
    <w:rsid w:val="00EB2360"/>
    <w:rsid w:val="00EB2851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6B64"/>
    <w:rsid w:val="00F17308"/>
    <w:rsid w:val="00F176CE"/>
    <w:rsid w:val="00F17D96"/>
    <w:rsid w:val="00F206FA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D60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53B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706D"/>
    <w:rsid w:val="00FB766C"/>
    <w:rsid w:val="00FC0237"/>
    <w:rsid w:val="00FC058D"/>
    <w:rsid w:val="00FC0826"/>
    <w:rsid w:val="00FC0DF0"/>
    <w:rsid w:val="00FC1277"/>
    <w:rsid w:val="00FC1668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540D"/>
    <w:rsid w:val="00FC5ECD"/>
    <w:rsid w:val="00FC6B62"/>
    <w:rsid w:val="00FC6EE5"/>
    <w:rsid w:val="00FC7645"/>
    <w:rsid w:val="00FC7767"/>
    <w:rsid w:val="00FD065B"/>
    <w:rsid w:val="00FD0677"/>
    <w:rsid w:val="00FD07AD"/>
    <w:rsid w:val="00FD26B1"/>
    <w:rsid w:val="00FD2783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7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.dedic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3" Type="http://schemas.openxmlformats.org/officeDocument/2006/relationships/styles" Target="styles.xml"/><Relationship Id="rId21" Type="http://schemas.openxmlformats.org/officeDocument/2006/relationships/hyperlink" Target="mailto:miroslav.ilic@rzs.rs.b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lka.ciganovic@rzs.rs.ba" TargetMode="External"/><Relationship Id="rId17" Type="http://schemas.openxmlformats.org/officeDocument/2006/relationships/hyperlink" Target="mailto:mirjana.bandur@rzs.rs.b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asminka.milic@rzs.rs.ba" TargetMode="External"/><Relationship Id="rId20" Type="http://schemas.openxmlformats.org/officeDocument/2006/relationships/hyperlink" Target="mailto:sanela.vasiljevic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anica.babic@rzs.rs.ba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yperlink" Target="mailto:dolores.peulic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jadranka.luburic@rzs.rs.ba" TargetMode="External"/><Relationship Id="rId22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005253940455361E-2"/>
          <c:y val="7.434944237918216E-2"/>
          <c:w val="0.89141856392293717"/>
          <c:h val="0.6505576208178435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Просјечнe нето платe / The average net wages</c:v>
                </c:pt>
              </c:strCache>
            </c:strRef>
          </c:tx>
          <c:spPr>
            <a:ln w="25381">
              <a:solidFill>
                <a:srgbClr val="333399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789</c:v>
                </c:pt>
                <c:pt idx="1">
                  <c:v>786</c:v>
                </c:pt>
                <c:pt idx="2">
                  <c:v>785</c:v>
                </c:pt>
                <c:pt idx="3">
                  <c:v>794</c:v>
                </c:pt>
                <c:pt idx="4">
                  <c:v>779</c:v>
                </c:pt>
                <c:pt idx="5">
                  <c:v>791</c:v>
                </c:pt>
                <c:pt idx="6">
                  <c:v>798</c:v>
                </c:pt>
                <c:pt idx="7">
                  <c:v>798</c:v>
                </c:pt>
                <c:pt idx="8">
                  <c:v>804</c:v>
                </c:pt>
                <c:pt idx="9">
                  <c:v>807</c:v>
                </c:pt>
                <c:pt idx="10">
                  <c:v>803</c:v>
                </c:pt>
                <c:pt idx="11">
                  <c:v>816</c:v>
                </c:pt>
                <c:pt idx="12">
                  <c:v>817</c:v>
                </c:pt>
              </c:numCache>
            </c:numRef>
          </c:val>
        </c:ser>
        <c:marker val="1"/>
        <c:axId val="33764096"/>
        <c:axId val="33765632"/>
      </c:lineChart>
      <c:catAx>
        <c:axId val="33764096"/>
        <c:scaling>
          <c:orientation val="minMax"/>
        </c:scaling>
        <c:axPos val="b"/>
        <c:majorGridlines>
          <c:spPr>
            <a:ln w="3173">
              <a:solidFill>
                <a:srgbClr val="969696"/>
              </a:solidFill>
              <a:prstDash val="solid"/>
            </a:ln>
          </c:spPr>
        </c:majorGridlines>
        <c:numFmt formatCode="General" sourceLinked="1"/>
        <c:tickLblPos val="low"/>
        <c:spPr>
          <a:ln w="126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33765632"/>
        <c:crossesAt val="100"/>
        <c:auto val="1"/>
        <c:lblAlgn val="ctr"/>
        <c:lblOffset val="100"/>
        <c:tickLblSkip val="1"/>
        <c:tickMarkSkip val="1"/>
      </c:catAx>
      <c:valAx>
        <c:axId val="33765632"/>
        <c:scaling>
          <c:orientation val="minMax"/>
          <c:max val="900"/>
          <c:min val="700"/>
        </c:scaling>
        <c:axPos val="l"/>
        <c:majorGridlines>
          <c:spPr>
            <a:ln w="3173">
              <a:solidFill>
                <a:srgbClr val="969696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33764096"/>
        <c:crosses val="autoZero"/>
        <c:crossBetween val="midCat"/>
        <c:majorUnit val="20"/>
      </c:valAx>
      <c:spPr>
        <a:noFill/>
        <a:ln w="2538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6259113708790351"/>
          <c:y val="0.12307692307692857"/>
          <c:w val="0.57281304268941058"/>
          <c:h val="0.7237227568776126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336970</c:v>
                </c:pt>
                <c:pt idx="1">
                  <c:v>363940</c:v>
                </c:pt>
                <c:pt idx="2">
                  <c:v>362025</c:v>
                </c:pt>
                <c:pt idx="3">
                  <c:v>409765</c:v>
                </c:pt>
                <c:pt idx="4">
                  <c:v>336550</c:v>
                </c:pt>
                <c:pt idx="5">
                  <c:v>370462</c:v>
                </c:pt>
                <c:pt idx="6">
                  <c:v>371717</c:v>
                </c:pt>
                <c:pt idx="7">
                  <c:v>282340</c:v>
                </c:pt>
                <c:pt idx="8">
                  <c:v>318159</c:v>
                </c:pt>
                <c:pt idx="9">
                  <c:v>370953</c:v>
                </c:pt>
                <c:pt idx="10">
                  <c:v>344250</c:v>
                </c:pt>
                <c:pt idx="11">
                  <c:v>344718</c:v>
                </c:pt>
                <c:pt idx="12">
                  <c:v>467781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203199</c:v>
                </c:pt>
                <c:pt idx="1">
                  <c:v>210840</c:v>
                </c:pt>
                <c:pt idx="2">
                  <c:v>160234</c:v>
                </c:pt>
                <c:pt idx="3">
                  <c:v>187421</c:v>
                </c:pt>
                <c:pt idx="4">
                  <c:v>180418</c:v>
                </c:pt>
                <c:pt idx="5">
                  <c:v>198072</c:v>
                </c:pt>
                <c:pt idx="6">
                  <c:v>180839</c:v>
                </c:pt>
                <c:pt idx="7">
                  <c:v>175608</c:v>
                </c:pt>
                <c:pt idx="8">
                  <c:v>191390</c:v>
                </c:pt>
                <c:pt idx="9">
                  <c:v>212435</c:v>
                </c:pt>
                <c:pt idx="10">
                  <c:v>213851</c:v>
                </c:pt>
                <c:pt idx="11">
                  <c:v>207627</c:v>
                </c:pt>
                <c:pt idx="12">
                  <c:v>228912</c:v>
                </c:pt>
              </c:numCache>
            </c:numRef>
          </c:val>
        </c:ser>
        <c:marker val="1"/>
        <c:axId val="49614208"/>
        <c:axId val="49624192"/>
      </c:lineChart>
      <c:catAx>
        <c:axId val="4961420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99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9624192"/>
        <c:crosses val="autoZero"/>
        <c:auto val="1"/>
        <c:lblAlgn val="ctr"/>
        <c:lblOffset val="100"/>
        <c:tickLblSkip val="1"/>
        <c:tickMarkSkip val="1"/>
      </c:catAx>
      <c:valAx>
        <c:axId val="49624192"/>
        <c:scaling>
          <c:orientation val="minMax"/>
          <c:max val="500000"/>
          <c:min val="0"/>
        </c:scaling>
        <c:axPos val="l"/>
        <c:majorGridlines/>
        <c:numFmt formatCode="#\ ##0" sourceLinked="0"/>
        <c:tickLblPos val="nextTo"/>
        <c:txPr>
          <a:bodyPr rot="0" vert="horz"/>
          <a:lstStyle/>
          <a:p>
            <a:pPr>
              <a:defRPr sz="899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9614208"/>
        <c:crosses val="autoZero"/>
        <c:crossBetween val="between"/>
        <c:majorUnit val="50000"/>
        <c:minorUnit val="1000"/>
      </c:valAx>
    </c:plotArea>
    <c:legend>
      <c:legendPos val="r"/>
      <c:layout>
        <c:manualLayout>
          <c:xMode val="edge"/>
          <c:yMode val="edge"/>
          <c:x val="0.77983102201991694"/>
          <c:y val="0.11130794364990088"/>
          <c:w val="0.20067873921504817"/>
          <c:h val="0.27598350206224415"/>
        </c:manualLayout>
      </c:layout>
      <c:txPr>
        <a:bodyPr/>
        <a:lstStyle/>
        <a:p>
          <a:pPr>
            <a:defRPr sz="899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autoTitleDeleted val="1"/>
    <c:plotArea>
      <c:layout>
        <c:manualLayout>
          <c:layoutTarget val="inner"/>
          <c:xMode val="edge"/>
          <c:yMode val="edge"/>
          <c:x val="0.2840442559030128"/>
          <c:y val="0.20558774191933121"/>
          <c:w val="0.43027644750307431"/>
          <c:h val="0.6808767932700764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Предузећа са технолошким иновацијама</c:v>
                </c:pt>
                <c:pt idx="1">
                  <c:v>Предузећа са нетехнолошким иновацијама</c:v>
                </c:pt>
                <c:pt idx="2">
                  <c:v>Предузећа са технолошким и нетехнолошким иновацијама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18.498659517426162</c:v>
                </c:pt>
                <c:pt idx="1">
                  <c:v>28.954423592493214</c:v>
                </c:pt>
                <c:pt idx="2">
                  <c:v>52.546916890080432</c:v>
                </c:pt>
              </c:numCache>
            </c:numRef>
          </c:val>
        </c:ser>
        <c:firstSliceAng val="280"/>
      </c:pieChart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28CB-7330-4957-8016-E7D810EC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2587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18528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sibinovicvl</cp:lastModifiedBy>
  <cp:revision>36</cp:revision>
  <cp:lastPrinted>2011-07-28T05:51:00Z</cp:lastPrinted>
  <dcterms:created xsi:type="dcterms:W3CDTF">2011-07-20T08:48:00Z</dcterms:created>
  <dcterms:modified xsi:type="dcterms:W3CDTF">2011-07-28T09:49:00Z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